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0C" w:rsidRPr="0031211B" w:rsidRDefault="003B2C0C" w:rsidP="00C33A9F">
      <w:pPr>
        <w:pStyle w:val="Heading1"/>
        <w:jc w:val="center"/>
        <w:rPr>
          <w:szCs w:val="24"/>
        </w:rPr>
      </w:pPr>
      <w:r w:rsidRPr="0031211B">
        <w:rPr>
          <w:szCs w:val="24"/>
        </w:rPr>
        <w:fldChar w:fldCharType="begin"/>
      </w:r>
      <w:r w:rsidRPr="0031211B">
        <w:rPr>
          <w:szCs w:val="24"/>
        </w:rPr>
        <w:instrText xml:space="preserve"> SEQ CHAPTER \h \r 1</w:instrText>
      </w:r>
      <w:r w:rsidRPr="0031211B">
        <w:rPr>
          <w:szCs w:val="24"/>
        </w:rPr>
        <w:fldChar w:fldCharType="end"/>
      </w:r>
      <w:r w:rsidRPr="0031211B">
        <w:rPr>
          <w:szCs w:val="24"/>
        </w:rPr>
        <w:tab/>
      </w:r>
      <w:r w:rsidR="00CF1EFB">
        <w:rPr>
          <w:szCs w:val="24"/>
        </w:rPr>
        <w:t>Local Parish</w:t>
      </w:r>
      <w:r w:rsidR="00C33A9F">
        <w:rPr>
          <w:szCs w:val="24"/>
        </w:rPr>
        <w:t xml:space="preserve"> Policies</w:t>
      </w:r>
    </w:p>
    <w:p w:rsidR="003B2C0C" w:rsidRPr="0031211B" w:rsidRDefault="003B2C0C" w:rsidP="008E3169">
      <w:pPr>
        <w:widowControl w:val="0"/>
        <w:jc w:val="both"/>
        <w:rPr>
          <w:szCs w:val="24"/>
        </w:rPr>
      </w:pPr>
    </w:p>
    <w:p w:rsidR="003B2C0C" w:rsidRPr="0031211B" w:rsidRDefault="003B2C0C" w:rsidP="006721EF">
      <w:pPr>
        <w:pStyle w:val="Heading2"/>
      </w:pPr>
      <w:r w:rsidRPr="0031211B">
        <w:t>HOURS OF OPERATION</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r>
      <w:r w:rsidRPr="00CC20B9">
        <w:rPr>
          <w:szCs w:val="24"/>
          <w:highlight w:val="yellow"/>
        </w:rPr>
        <w:t xml:space="preserve">The normal hours of operation for the </w:t>
      </w:r>
      <w:r w:rsidR="00BE08BB" w:rsidRPr="00CC20B9">
        <w:rPr>
          <w:szCs w:val="24"/>
          <w:highlight w:val="yellow"/>
        </w:rPr>
        <w:t xml:space="preserve">Parish Offices are </w:t>
      </w:r>
      <w:r w:rsidR="00B12047" w:rsidRPr="00CC20B9">
        <w:rPr>
          <w:szCs w:val="24"/>
          <w:highlight w:val="yellow"/>
        </w:rPr>
        <w:t>X</w:t>
      </w:r>
      <w:proofErr w:type="gramStart"/>
      <w:r w:rsidR="00B12047" w:rsidRPr="00CC20B9">
        <w:rPr>
          <w:szCs w:val="24"/>
          <w:highlight w:val="yellow"/>
        </w:rPr>
        <w:t>:00</w:t>
      </w:r>
      <w:proofErr w:type="gramEnd"/>
      <w:r w:rsidR="00BE08BB" w:rsidRPr="00CC20B9">
        <w:rPr>
          <w:szCs w:val="24"/>
          <w:highlight w:val="yellow"/>
        </w:rPr>
        <w:t xml:space="preserve"> a.m. to </w:t>
      </w:r>
      <w:r w:rsidR="00B12047" w:rsidRPr="00CC20B9">
        <w:rPr>
          <w:szCs w:val="24"/>
          <w:highlight w:val="yellow"/>
        </w:rPr>
        <w:t>X:00</w:t>
      </w:r>
      <w:r w:rsidR="00BE08BB" w:rsidRPr="00CC20B9">
        <w:rPr>
          <w:szCs w:val="24"/>
          <w:highlight w:val="yellow"/>
        </w:rPr>
        <w:t xml:space="preserve"> p.m</w:t>
      </w:r>
      <w:r w:rsidR="00B12047" w:rsidRPr="00CC20B9">
        <w:rPr>
          <w:szCs w:val="24"/>
          <w:highlight w:val="yellow"/>
        </w:rPr>
        <w:t>., Monday through Thursday and X:00 a.m. – X:00</w:t>
      </w:r>
      <w:r w:rsidR="00BE08BB" w:rsidRPr="00CC20B9">
        <w:rPr>
          <w:szCs w:val="24"/>
          <w:highlight w:val="yellow"/>
        </w:rPr>
        <w:t xml:space="preserve"> on Fridays</w:t>
      </w:r>
      <w:r w:rsidRPr="00CC20B9">
        <w:rPr>
          <w:szCs w:val="24"/>
          <w:highlight w:val="yellow"/>
        </w:rPr>
        <w:t>.</w:t>
      </w:r>
      <w:r w:rsidR="00B12047" w:rsidRPr="00CC20B9">
        <w:rPr>
          <w:szCs w:val="24"/>
          <w:highlight w:val="yellow"/>
        </w:rPr>
        <w:t xml:space="preserve"> [If a parish doesn’t have different Friday hours change to read Monday through Friday above.]</w:t>
      </w:r>
      <w:r w:rsidRPr="00CC20B9">
        <w:rPr>
          <w:szCs w:val="24"/>
          <w:highlight w:val="yellow"/>
        </w:rPr>
        <w:t xml:space="preserve">  </w:t>
      </w:r>
      <w:r w:rsidR="00E42921" w:rsidRPr="00CC20B9">
        <w:rPr>
          <w:szCs w:val="24"/>
          <w:highlight w:val="yellow"/>
        </w:rPr>
        <w:t>A normal workweek is XX</w:t>
      </w:r>
      <w:r w:rsidR="00BE08BB" w:rsidRPr="00CC20B9">
        <w:rPr>
          <w:szCs w:val="24"/>
          <w:highlight w:val="yellow"/>
        </w:rPr>
        <w:t xml:space="preserve"> hours.</w:t>
      </w:r>
      <w:r w:rsidRPr="0031211B">
        <w:rPr>
          <w:szCs w:val="24"/>
        </w:rPr>
        <w:t xml:space="preserve"> </w:t>
      </w:r>
    </w:p>
    <w:p w:rsidR="003B2C0C" w:rsidRPr="0031211B" w:rsidRDefault="003B2C0C" w:rsidP="008E3169">
      <w:pPr>
        <w:widowControl w:val="0"/>
        <w:jc w:val="both"/>
        <w:rPr>
          <w:szCs w:val="24"/>
        </w:rPr>
      </w:pPr>
    </w:p>
    <w:p w:rsidR="00237531" w:rsidRDefault="0014583E" w:rsidP="006721EF">
      <w:pPr>
        <w:pStyle w:val="Heading2"/>
      </w:pPr>
      <w:r>
        <w:t>MEDICAL</w:t>
      </w:r>
      <w:r w:rsidR="00237531">
        <w:t xml:space="preserve"> INSURANCE</w:t>
      </w:r>
    </w:p>
    <w:p w:rsidR="00237531" w:rsidRDefault="00237531" w:rsidP="00237531">
      <w:r>
        <w:tab/>
      </w:r>
    </w:p>
    <w:p w:rsidR="0014583E" w:rsidRDefault="00B12047" w:rsidP="00237531">
      <w:r>
        <w:tab/>
      </w:r>
      <w:r w:rsidR="00237531">
        <w:t>The followi</w:t>
      </w:r>
      <w:r w:rsidR="008E3B4F">
        <w:t>ng benefits apply to full time</w:t>
      </w:r>
      <w:r w:rsidR="00474241">
        <w:t>,</w:t>
      </w:r>
      <w:r w:rsidR="008E3B4F">
        <w:t xml:space="preserve"> 3</w:t>
      </w:r>
      <w:r w:rsidR="00237531">
        <w:t>0</w:t>
      </w:r>
      <w:r w:rsidR="008E3B4F">
        <w:t xml:space="preserve"> or more h</w:t>
      </w:r>
      <w:r w:rsidR="00237531">
        <w:t>our per week employees:</w:t>
      </w:r>
    </w:p>
    <w:p w:rsidR="00237531" w:rsidRDefault="00237531" w:rsidP="00237531">
      <w:r>
        <w:t xml:space="preserve"> </w:t>
      </w:r>
    </w:p>
    <w:p w:rsidR="0014583E" w:rsidRDefault="00237531" w:rsidP="00237531">
      <w:pPr>
        <w:pStyle w:val="ListParagraph"/>
        <w:numPr>
          <w:ilvl w:val="0"/>
          <w:numId w:val="2"/>
        </w:numPr>
      </w:pPr>
      <w:r>
        <w:t>Medical Insurance:  Comprehensive medical coverage with a prescription drug rider for the employee</w:t>
      </w:r>
      <w:r w:rsidR="00511015">
        <w:t xml:space="preserve"> and dependents through a Blue Cross Blue Shield</w:t>
      </w:r>
      <w:r>
        <w:t xml:space="preserve"> PPO provided by the Michigan Catho</w:t>
      </w:r>
      <w:r w:rsidR="0014583E">
        <w:t xml:space="preserve">lic Conference.  Employees pay </w:t>
      </w:r>
      <w:r w:rsidR="00980B23">
        <w:t>a percentage</w:t>
      </w:r>
      <w:r w:rsidR="0014583E">
        <w:t xml:space="preserve"> of the premium costs</w:t>
      </w:r>
      <w:r w:rsidR="00807136">
        <w:t xml:space="preserve"> through pre-tax payroll deductions</w:t>
      </w:r>
      <w:r w:rsidR="0014583E">
        <w:t>.</w:t>
      </w:r>
      <w:r w:rsidR="00980B23">
        <w:t xml:space="preserve">  The premium share is dependent upon the plan selected. </w:t>
      </w:r>
    </w:p>
    <w:p w:rsidR="00237531" w:rsidRDefault="00237531" w:rsidP="0014583E">
      <w:pPr>
        <w:pStyle w:val="ListParagraph"/>
        <w:ind w:left="1804"/>
      </w:pPr>
      <w:r>
        <w:t xml:space="preserve">  </w:t>
      </w:r>
    </w:p>
    <w:p w:rsidR="00237531" w:rsidRDefault="00237531" w:rsidP="00237531">
      <w:pPr>
        <w:pStyle w:val="ListParagraph"/>
        <w:numPr>
          <w:ilvl w:val="0"/>
          <w:numId w:val="2"/>
        </w:numPr>
      </w:pPr>
      <w:r>
        <w:t xml:space="preserve">Employees have the choice of obtaining coverage through the employer or through a parent or spouse plan, but not both.   If an employee gains coverage through a parent or spouse plan, the employee will receive </w:t>
      </w:r>
      <w:r w:rsidRPr="00FB5214">
        <w:rPr>
          <w:highlight w:val="yellow"/>
        </w:rPr>
        <w:t>$</w:t>
      </w:r>
      <w:r w:rsidR="00FB5214" w:rsidRPr="00FB5214">
        <w:rPr>
          <w:highlight w:val="yellow"/>
        </w:rPr>
        <w:t>X</w:t>
      </w:r>
      <w:proofErr w:type="gramStart"/>
      <w:r w:rsidR="00614F66" w:rsidRPr="00FB5214">
        <w:rPr>
          <w:highlight w:val="yellow"/>
        </w:rPr>
        <w:t>,000</w:t>
      </w:r>
      <w:proofErr w:type="gramEnd"/>
      <w:r>
        <w:t xml:space="preserve"> cash in lieu o</w:t>
      </w:r>
      <w:r w:rsidR="00FB5214">
        <w:t>f the insurance benefit.  The $</w:t>
      </w:r>
      <w:r w:rsidR="00FB5214" w:rsidRPr="00FB5214">
        <w:rPr>
          <w:highlight w:val="yellow"/>
        </w:rPr>
        <w:t>X</w:t>
      </w:r>
      <w:proofErr w:type="gramStart"/>
      <w:r w:rsidRPr="00FB5214">
        <w:rPr>
          <w:highlight w:val="yellow"/>
        </w:rPr>
        <w:t>,000</w:t>
      </w:r>
      <w:proofErr w:type="gramEnd"/>
      <w:r>
        <w:t xml:space="preserve"> is paid out in bi-weekly payroll installments and is taxed as income. </w:t>
      </w:r>
    </w:p>
    <w:p w:rsidR="00237531" w:rsidRDefault="00237531" w:rsidP="00237531"/>
    <w:tbl>
      <w:tblPr>
        <w:tblStyle w:val="TableGrid"/>
        <w:tblW w:w="0" w:type="auto"/>
        <w:tblLook w:val="04A0" w:firstRow="1" w:lastRow="0" w:firstColumn="1" w:lastColumn="0" w:noHBand="0" w:noVBand="1"/>
      </w:tblPr>
      <w:tblGrid>
        <w:gridCol w:w="9350"/>
      </w:tblGrid>
      <w:tr w:rsidR="00621284" w:rsidTr="00621284">
        <w:tc>
          <w:tcPr>
            <w:tcW w:w="9350" w:type="dxa"/>
          </w:tcPr>
          <w:tbl>
            <w:tblPr>
              <w:tblW w:w="9124" w:type="dxa"/>
              <w:tblLook w:val="04A0" w:firstRow="1" w:lastRow="0" w:firstColumn="1" w:lastColumn="0" w:noHBand="0" w:noVBand="1"/>
            </w:tblPr>
            <w:tblGrid>
              <w:gridCol w:w="1772"/>
              <w:gridCol w:w="1440"/>
              <w:gridCol w:w="2070"/>
              <w:gridCol w:w="2070"/>
              <w:gridCol w:w="1772"/>
            </w:tblGrid>
            <w:tr w:rsidR="00621284" w:rsidRPr="00621284" w:rsidTr="00621284">
              <w:trPr>
                <w:trHeight w:val="570"/>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44"/>
                      <w:szCs w:val="44"/>
                    </w:rPr>
                  </w:pPr>
                  <w:r w:rsidRPr="00621284">
                    <w:rPr>
                      <w:rFonts w:ascii="Calibri" w:hAnsi="Calibri" w:cs="Calibri"/>
                      <w:color w:val="000000"/>
                      <w:sz w:val="44"/>
                      <w:szCs w:val="44"/>
                    </w:rPr>
                    <w:t>PPO 1 Health Insurance Costs 2020-21</w:t>
                  </w:r>
                </w:p>
              </w:tc>
            </w:tr>
            <w:tr w:rsidR="00621284" w:rsidRPr="00621284" w:rsidTr="00621284">
              <w:trPr>
                <w:trHeight w:val="375"/>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8"/>
                      <w:szCs w:val="28"/>
                    </w:rPr>
                  </w:pPr>
                  <w:r w:rsidRPr="00621284">
                    <w:rPr>
                      <w:rFonts w:ascii="Calibri" w:hAnsi="Calibri" w:cs="Calibri"/>
                      <w:color w:val="000000"/>
                      <w:sz w:val="28"/>
                      <w:szCs w:val="28"/>
                    </w:rPr>
                    <w:t>$250/$500 Deductible; Max: OOP $1250/$2500</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b/>
                      <w:bCs/>
                      <w:color w:val="000000"/>
                      <w:sz w:val="22"/>
                      <w:szCs w:val="22"/>
                    </w:rPr>
                  </w:pPr>
                  <w:r w:rsidRPr="00621284">
                    <w:rPr>
                      <w:rFonts w:ascii="Calibri" w:hAnsi="Calibri" w:cs="Calibri"/>
                      <w:b/>
                      <w:bCs/>
                      <w:color w:val="000000"/>
                      <w:sz w:val="22"/>
                      <w:szCs w:val="22"/>
                    </w:rPr>
                    <w:t>PPO 1 Plan</w:t>
                  </w:r>
                </w:p>
              </w:tc>
              <w:tc>
                <w:tcPr>
                  <w:tcW w:w="144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Annual Cost</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Employer Portion</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Portion</w:t>
                  </w:r>
                </w:p>
              </w:tc>
              <w:tc>
                <w:tcPr>
                  <w:tcW w:w="1772"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Bi-weekly Cost</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Single</w:t>
                  </w:r>
                </w:p>
              </w:tc>
              <w:tc>
                <w:tcPr>
                  <w:tcW w:w="144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8,640.00 </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6,048.00 </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w:t>
                  </w:r>
                  <w:r w:rsidR="00C30629">
                    <w:rPr>
                      <w:rFonts w:ascii="Calibri" w:hAnsi="Calibri" w:cs="Calibri"/>
                      <w:color w:val="000000"/>
                      <w:sz w:val="22"/>
                      <w:szCs w:val="22"/>
                    </w:rPr>
                    <w:t xml:space="preserve">  </w:t>
                  </w:r>
                  <w:bookmarkStart w:id="0" w:name="_GoBack"/>
                  <w:bookmarkEnd w:id="0"/>
                  <w:r w:rsidRPr="00621284">
                    <w:rPr>
                      <w:rFonts w:ascii="Calibri" w:hAnsi="Calibri" w:cs="Calibri"/>
                      <w:color w:val="000000"/>
                      <w:sz w:val="22"/>
                      <w:szCs w:val="22"/>
                    </w:rPr>
                    <w:t xml:space="preserve"> 2,592.00 </w:t>
                  </w:r>
                </w:p>
              </w:tc>
              <w:tc>
                <w:tcPr>
                  <w:tcW w:w="1772"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99.69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 One (child or spouse)</w:t>
                  </w:r>
                </w:p>
              </w:tc>
              <w:tc>
                <w:tcPr>
                  <w:tcW w:w="144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19,056.00 </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13,339.20 </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5,716.80 </w:t>
                  </w:r>
                </w:p>
              </w:tc>
              <w:tc>
                <w:tcPr>
                  <w:tcW w:w="1772"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219.88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Family</w:t>
                  </w:r>
                </w:p>
              </w:tc>
              <w:tc>
                <w:tcPr>
                  <w:tcW w:w="144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22,512.00 </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sz w:val="22"/>
                      <w:szCs w:val="22"/>
                    </w:rPr>
                  </w:pPr>
                  <w:r w:rsidRPr="00621284">
                    <w:rPr>
                      <w:rFonts w:ascii="Calibri" w:hAnsi="Calibri" w:cs="Calibri"/>
                      <w:sz w:val="22"/>
                      <w:szCs w:val="22"/>
                    </w:rPr>
                    <w:t xml:space="preserve"> $             15,758.40 </w:t>
                  </w:r>
                </w:p>
              </w:tc>
              <w:tc>
                <w:tcPr>
                  <w:tcW w:w="2070"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6,753.60 </w:t>
                  </w:r>
                </w:p>
              </w:tc>
              <w:tc>
                <w:tcPr>
                  <w:tcW w:w="1772" w:type="dxa"/>
                  <w:tcBorders>
                    <w:top w:val="nil"/>
                    <w:left w:val="nil"/>
                    <w:bottom w:val="single" w:sz="4" w:space="0" w:color="auto"/>
                    <w:right w:val="single" w:sz="4" w:space="0" w:color="auto"/>
                  </w:tcBorders>
                  <w:shd w:val="clear" w:color="000000" w:fill="F2DCDB"/>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259.75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70%</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C30629" w:rsidP="00621284">
                  <w:pPr>
                    <w:jc w:val="center"/>
                    <w:rPr>
                      <w:rFonts w:ascii="Calibri" w:hAnsi="Calibri" w:cs="Calibri"/>
                      <w:color w:val="000000"/>
                      <w:sz w:val="22"/>
                      <w:szCs w:val="22"/>
                    </w:rPr>
                  </w:pPr>
                  <w:r>
                    <w:rPr>
                      <w:rFonts w:ascii="Calibri" w:hAnsi="Calibri" w:cs="Calibri"/>
                      <w:color w:val="000000"/>
                      <w:sz w:val="22"/>
                      <w:szCs w:val="22"/>
                    </w:rPr>
                    <w:t>3</w:t>
                  </w:r>
                  <w:r w:rsidR="00621284" w:rsidRPr="00621284">
                    <w:rPr>
                      <w:rFonts w:ascii="Calibri" w:hAnsi="Calibri" w:cs="Calibri"/>
                      <w:color w:val="000000"/>
                      <w:sz w:val="22"/>
                      <w:szCs w:val="22"/>
                    </w:rPr>
                    <w:t>0%</w:t>
                  </w:r>
                </w:p>
              </w:tc>
              <w:tc>
                <w:tcPr>
                  <w:tcW w:w="1772"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r>
            <w:tr w:rsidR="00621284" w:rsidRPr="00621284" w:rsidTr="00621284">
              <w:trPr>
                <w:trHeight w:val="570"/>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44"/>
                      <w:szCs w:val="44"/>
                    </w:rPr>
                  </w:pPr>
                  <w:r w:rsidRPr="00621284">
                    <w:rPr>
                      <w:rFonts w:ascii="Calibri" w:hAnsi="Calibri" w:cs="Calibri"/>
                      <w:color w:val="000000"/>
                      <w:sz w:val="44"/>
                      <w:szCs w:val="44"/>
                    </w:rPr>
                    <w:t>PPO 2 Health Insurance Costs 2020-21</w:t>
                  </w:r>
                </w:p>
              </w:tc>
            </w:tr>
            <w:tr w:rsidR="00621284" w:rsidRPr="00621284" w:rsidTr="00621284">
              <w:trPr>
                <w:trHeight w:val="375"/>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8"/>
                      <w:szCs w:val="28"/>
                    </w:rPr>
                  </w:pPr>
                  <w:r w:rsidRPr="00621284">
                    <w:rPr>
                      <w:rFonts w:ascii="Calibri" w:hAnsi="Calibri" w:cs="Calibri"/>
                      <w:color w:val="000000"/>
                      <w:sz w:val="28"/>
                      <w:szCs w:val="28"/>
                    </w:rPr>
                    <w:t>$1500/$3000 Deductible; Max:  OOP $4000/$9000</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b/>
                      <w:bCs/>
                      <w:color w:val="000000"/>
                      <w:sz w:val="22"/>
                      <w:szCs w:val="22"/>
                    </w:rPr>
                  </w:pPr>
                  <w:r w:rsidRPr="00621284">
                    <w:rPr>
                      <w:rFonts w:ascii="Calibri" w:hAnsi="Calibri" w:cs="Calibri"/>
                      <w:b/>
                      <w:bCs/>
                      <w:color w:val="000000"/>
                      <w:sz w:val="22"/>
                      <w:szCs w:val="22"/>
                    </w:rPr>
                    <w:t>PPO 2 Plan</w:t>
                  </w:r>
                </w:p>
              </w:tc>
              <w:tc>
                <w:tcPr>
                  <w:tcW w:w="144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Annual Cost</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Employer Portion</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Portion</w:t>
                  </w:r>
                </w:p>
              </w:tc>
              <w:tc>
                <w:tcPr>
                  <w:tcW w:w="1772"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Bi-weekly Cost</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Single</w:t>
                  </w:r>
                </w:p>
              </w:tc>
              <w:tc>
                <w:tcPr>
                  <w:tcW w:w="144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6,048.00 </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5,443.20 </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604.80 </w:t>
                  </w:r>
                </w:p>
              </w:tc>
              <w:tc>
                <w:tcPr>
                  <w:tcW w:w="1772"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23.26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 One (child or spouse)</w:t>
                  </w:r>
                </w:p>
              </w:tc>
              <w:tc>
                <w:tcPr>
                  <w:tcW w:w="144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13,320.00 </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11,988.00 </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1,332.00 </w:t>
                  </w:r>
                </w:p>
              </w:tc>
              <w:tc>
                <w:tcPr>
                  <w:tcW w:w="1772"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51.23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Family</w:t>
                  </w:r>
                </w:p>
              </w:tc>
              <w:tc>
                <w:tcPr>
                  <w:tcW w:w="144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15,756.00 </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14,180.40 </w:t>
                  </w:r>
                </w:p>
              </w:tc>
              <w:tc>
                <w:tcPr>
                  <w:tcW w:w="2070"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1,575.60 </w:t>
                  </w:r>
                </w:p>
              </w:tc>
              <w:tc>
                <w:tcPr>
                  <w:tcW w:w="1772" w:type="dxa"/>
                  <w:tcBorders>
                    <w:top w:val="nil"/>
                    <w:left w:val="nil"/>
                    <w:bottom w:val="single" w:sz="4" w:space="0" w:color="auto"/>
                    <w:right w:val="single" w:sz="4" w:space="0" w:color="auto"/>
                  </w:tcBorders>
                  <w:shd w:val="clear" w:color="000000" w:fill="DCE6F1"/>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60.60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90%</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10%</w:t>
                  </w:r>
                </w:p>
              </w:tc>
              <w:tc>
                <w:tcPr>
                  <w:tcW w:w="1772"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r>
            <w:tr w:rsidR="00621284" w:rsidRPr="00621284" w:rsidTr="00621284">
              <w:trPr>
                <w:trHeight w:val="570"/>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44"/>
                      <w:szCs w:val="44"/>
                    </w:rPr>
                  </w:pPr>
                  <w:r w:rsidRPr="00621284">
                    <w:rPr>
                      <w:rFonts w:ascii="Calibri" w:hAnsi="Calibri" w:cs="Calibri"/>
                      <w:color w:val="000000"/>
                      <w:sz w:val="44"/>
                      <w:szCs w:val="44"/>
                    </w:rPr>
                    <w:lastRenderedPageBreak/>
                    <w:t>BCN Health Insurance Costs 2020-21</w:t>
                  </w:r>
                </w:p>
              </w:tc>
            </w:tr>
            <w:tr w:rsidR="00621284" w:rsidRPr="00621284" w:rsidTr="00621284">
              <w:trPr>
                <w:trHeight w:val="375"/>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8"/>
                      <w:szCs w:val="28"/>
                    </w:rPr>
                  </w:pPr>
                  <w:r w:rsidRPr="00621284">
                    <w:rPr>
                      <w:rFonts w:ascii="Calibri" w:hAnsi="Calibri" w:cs="Calibri"/>
                      <w:color w:val="000000"/>
                      <w:sz w:val="28"/>
                      <w:szCs w:val="28"/>
                    </w:rPr>
                    <w:t>$100/$300 Deductible; Max:  OOP $1000/$3000</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b/>
                      <w:bCs/>
                      <w:color w:val="000000"/>
                      <w:sz w:val="22"/>
                      <w:szCs w:val="22"/>
                    </w:rPr>
                  </w:pPr>
                  <w:r w:rsidRPr="00621284">
                    <w:rPr>
                      <w:rFonts w:ascii="Calibri" w:hAnsi="Calibri" w:cs="Calibri"/>
                      <w:b/>
                      <w:bCs/>
                      <w:color w:val="000000"/>
                      <w:sz w:val="22"/>
                      <w:szCs w:val="22"/>
                    </w:rPr>
                    <w:t>BCN Plan</w:t>
                  </w:r>
                </w:p>
              </w:tc>
              <w:tc>
                <w:tcPr>
                  <w:tcW w:w="144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Annual Cost</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Employer Portion</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Portion</w:t>
                  </w:r>
                </w:p>
              </w:tc>
              <w:tc>
                <w:tcPr>
                  <w:tcW w:w="1772"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Bi-weekly Cost</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Single</w:t>
                  </w:r>
                </w:p>
              </w:tc>
              <w:tc>
                <w:tcPr>
                  <w:tcW w:w="144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7,692.00 </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 xml:space="preserve"> $                6,153.60 </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 xml:space="preserve"> $                 1,538.40 </w:t>
                  </w:r>
                </w:p>
              </w:tc>
              <w:tc>
                <w:tcPr>
                  <w:tcW w:w="1772"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59.17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 One (child or spouse)</w:t>
                  </w:r>
                </w:p>
              </w:tc>
              <w:tc>
                <w:tcPr>
                  <w:tcW w:w="144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16,920.00 </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 xml:space="preserve"> $             13,536.00 </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 xml:space="preserve"> $                 3,384.00 </w:t>
                  </w:r>
                </w:p>
              </w:tc>
              <w:tc>
                <w:tcPr>
                  <w:tcW w:w="1772"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130.15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Family</w:t>
                  </w:r>
                </w:p>
              </w:tc>
              <w:tc>
                <w:tcPr>
                  <w:tcW w:w="144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19,992.00 </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 xml:space="preserve"> $             15,993.60 </w:t>
                  </w:r>
                </w:p>
              </w:tc>
              <w:tc>
                <w:tcPr>
                  <w:tcW w:w="2070"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 xml:space="preserve"> $                 3,998.40 </w:t>
                  </w:r>
                </w:p>
              </w:tc>
              <w:tc>
                <w:tcPr>
                  <w:tcW w:w="1772" w:type="dxa"/>
                  <w:tcBorders>
                    <w:top w:val="nil"/>
                    <w:left w:val="nil"/>
                    <w:bottom w:val="single" w:sz="4" w:space="0" w:color="auto"/>
                    <w:right w:val="single" w:sz="4" w:space="0" w:color="auto"/>
                  </w:tcBorders>
                  <w:shd w:val="clear" w:color="000000" w:fill="E4DFEC"/>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153.78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80%</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20%</w:t>
                  </w:r>
                </w:p>
              </w:tc>
              <w:tc>
                <w:tcPr>
                  <w:tcW w:w="1772"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r>
            <w:tr w:rsidR="00621284" w:rsidRPr="00621284" w:rsidTr="00621284">
              <w:trPr>
                <w:trHeight w:val="570"/>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44"/>
                      <w:szCs w:val="44"/>
                    </w:rPr>
                  </w:pPr>
                  <w:r w:rsidRPr="00621284">
                    <w:rPr>
                      <w:rFonts w:ascii="Calibri" w:hAnsi="Calibri" w:cs="Calibri"/>
                      <w:color w:val="000000"/>
                      <w:sz w:val="44"/>
                      <w:szCs w:val="44"/>
                    </w:rPr>
                    <w:t>PPO HD* Health Insurance Costs 2020-21</w:t>
                  </w:r>
                </w:p>
              </w:tc>
            </w:tr>
            <w:tr w:rsidR="00621284" w:rsidRPr="00621284" w:rsidTr="00621284">
              <w:trPr>
                <w:trHeight w:val="375"/>
              </w:trPr>
              <w:tc>
                <w:tcPr>
                  <w:tcW w:w="91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8"/>
                      <w:szCs w:val="28"/>
                    </w:rPr>
                  </w:pPr>
                  <w:r w:rsidRPr="00621284">
                    <w:rPr>
                      <w:rFonts w:ascii="Calibri" w:hAnsi="Calibri" w:cs="Calibri"/>
                      <w:color w:val="000000"/>
                      <w:sz w:val="28"/>
                      <w:szCs w:val="28"/>
                    </w:rPr>
                    <w:t xml:space="preserve">$5000/$10,000 Deductible ; Max:  OOP $6350/$12,700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b/>
                      <w:bCs/>
                      <w:color w:val="000000"/>
                      <w:sz w:val="22"/>
                      <w:szCs w:val="22"/>
                    </w:rPr>
                  </w:pPr>
                  <w:r w:rsidRPr="00621284">
                    <w:rPr>
                      <w:rFonts w:ascii="Calibri" w:hAnsi="Calibri" w:cs="Calibri"/>
                      <w:b/>
                      <w:bCs/>
                      <w:color w:val="000000"/>
                      <w:sz w:val="22"/>
                      <w:szCs w:val="22"/>
                    </w:rPr>
                    <w:t>PPO HD Plan</w:t>
                  </w:r>
                </w:p>
              </w:tc>
              <w:tc>
                <w:tcPr>
                  <w:tcW w:w="144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Annual Cost</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Employer Portion</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Portion</w:t>
                  </w:r>
                </w:p>
              </w:tc>
              <w:tc>
                <w:tcPr>
                  <w:tcW w:w="1772"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Bi-weekly Cost</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Single</w:t>
                  </w:r>
                </w:p>
              </w:tc>
              <w:tc>
                <w:tcPr>
                  <w:tcW w:w="144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5,028.00 </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4,776.60 </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251.40 </w:t>
                  </w:r>
                </w:p>
              </w:tc>
              <w:tc>
                <w:tcPr>
                  <w:tcW w:w="1772"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9.67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 One (child or spouse)</w:t>
                  </w:r>
                </w:p>
              </w:tc>
              <w:tc>
                <w:tcPr>
                  <w:tcW w:w="144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11,088.00 </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10,533.60 </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554.40 </w:t>
                  </w:r>
                </w:p>
              </w:tc>
              <w:tc>
                <w:tcPr>
                  <w:tcW w:w="1772"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21.32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Family</w:t>
                  </w:r>
                </w:p>
              </w:tc>
              <w:tc>
                <w:tcPr>
                  <w:tcW w:w="144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13,116.00 </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12,460.20 </w:t>
                  </w:r>
                </w:p>
              </w:tc>
              <w:tc>
                <w:tcPr>
                  <w:tcW w:w="2070"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655.80 </w:t>
                  </w:r>
                </w:p>
              </w:tc>
              <w:tc>
                <w:tcPr>
                  <w:tcW w:w="1772" w:type="dxa"/>
                  <w:tcBorders>
                    <w:top w:val="nil"/>
                    <w:left w:val="nil"/>
                    <w:bottom w:val="single" w:sz="4" w:space="0" w:color="auto"/>
                    <w:right w:val="single" w:sz="4" w:space="0" w:color="auto"/>
                  </w:tcBorders>
                  <w:shd w:val="clear" w:color="000000" w:fill="DDD9C4"/>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xml:space="preserve"> $                25.22 </w:t>
                  </w:r>
                </w:p>
              </w:tc>
            </w:tr>
            <w:tr w:rsidR="00621284" w:rsidRPr="00621284" w:rsidTr="00621284">
              <w:trPr>
                <w:trHeight w:val="30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95%</w:t>
                  </w:r>
                </w:p>
              </w:tc>
              <w:tc>
                <w:tcPr>
                  <w:tcW w:w="2070"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jc w:val="center"/>
                    <w:rPr>
                      <w:rFonts w:ascii="Calibri" w:hAnsi="Calibri" w:cs="Calibri"/>
                      <w:color w:val="000000"/>
                      <w:sz w:val="22"/>
                      <w:szCs w:val="22"/>
                    </w:rPr>
                  </w:pPr>
                  <w:r w:rsidRPr="00621284">
                    <w:rPr>
                      <w:rFonts w:ascii="Calibri" w:hAnsi="Calibri" w:cs="Calibri"/>
                      <w:color w:val="000000"/>
                      <w:sz w:val="22"/>
                      <w:szCs w:val="22"/>
                    </w:rPr>
                    <w:t>5%</w:t>
                  </w:r>
                </w:p>
              </w:tc>
              <w:tc>
                <w:tcPr>
                  <w:tcW w:w="1772" w:type="dxa"/>
                  <w:tcBorders>
                    <w:top w:val="nil"/>
                    <w:left w:val="nil"/>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r>
            <w:tr w:rsidR="00621284" w:rsidRPr="00621284" w:rsidTr="00621284">
              <w:trPr>
                <w:trHeight w:val="701"/>
              </w:trPr>
              <w:tc>
                <w:tcPr>
                  <w:tcW w:w="9124" w:type="dxa"/>
                  <w:gridSpan w:val="5"/>
                  <w:tcBorders>
                    <w:top w:val="nil"/>
                    <w:left w:val="single" w:sz="4" w:space="0" w:color="auto"/>
                    <w:bottom w:val="single" w:sz="4" w:space="0" w:color="auto"/>
                    <w:right w:val="single" w:sz="4" w:space="0" w:color="auto"/>
                  </w:tcBorders>
                  <w:shd w:val="clear" w:color="auto" w:fill="auto"/>
                  <w:noWrap/>
                  <w:vAlign w:val="center"/>
                  <w:hideMark/>
                </w:tcPr>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*Employee can contribute up to $3,550 for self-only or $7,100 for family to a Health Savings Account.  </w:t>
                  </w:r>
                </w:p>
                <w:p w:rsidR="00621284" w:rsidRPr="00621284" w:rsidRDefault="00621284" w:rsidP="00621284">
                  <w:pPr>
                    <w:rPr>
                      <w:rFonts w:ascii="Calibri" w:hAnsi="Calibri" w:cs="Calibri"/>
                      <w:color w:val="000000"/>
                      <w:sz w:val="22"/>
                      <w:szCs w:val="22"/>
                    </w:rPr>
                  </w:pPr>
                  <w:r w:rsidRPr="00621284">
                    <w:rPr>
                      <w:rFonts w:ascii="Calibri" w:hAnsi="Calibri" w:cs="Calibri"/>
                      <w:color w:val="000000"/>
                      <w:sz w:val="22"/>
                      <w:szCs w:val="22"/>
                    </w:rPr>
                    <w:t> </w:t>
                  </w:r>
                </w:p>
              </w:tc>
            </w:tr>
          </w:tbl>
          <w:p w:rsidR="00621284" w:rsidRDefault="00621284" w:rsidP="00980B23"/>
        </w:tc>
      </w:tr>
    </w:tbl>
    <w:p w:rsidR="00980B23" w:rsidRDefault="00980B23" w:rsidP="00980B23"/>
    <w:p w:rsidR="00980B23" w:rsidRDefault="00B12047" w:rsidP="00980B23">
      <w:r>
        <w:tab/>
      </w:r>
      <w:r w:rsidR="00B44AFF">
        <w:t>Employees who work 20-29.5</w:t>
      </w:r>
      <w:r w:rsidR="00980B23">
        <w:t xml:space="preserve"> hours per week are eligible for health insurance coverage through the employer.  However the empl</w:t>
      </w:r>
      <w:r w:rsidR="00B44AFF">
        <w:t xml:space="preserve">oyer will charge the employee </w:t>
      </w:r>
      <w:r w:rsidR="00B44AFF" w:rsidRPr="00A31DEF">
        <w:rPr>
          <w:highlight w:val="yellow"/>
        </w:rPr>
        <w:t>100</w:t>
      </w:r>
      <w:r w:rsidR="00980B23" w:rsidRPr="00A31DEF">
        <w:rPr>
          <w:highlight w:val="yellow"/>
        </w:rPr>
        <w:t>%</w:t>
      </w:r>
      <w:r w:rsidR="00980B23">
        <w:t xml:space="preserve"> of the total cost of the health insurance premium through pre-tax payroll deductions.</w:t>
      </w:r>
    </w:p>
    <w:p w:rsidR="00980B23" w:rsidRDefault="00980B23" w:rsidP="00237531"/>
    <w:p w:rsidR="0014583E" w:rsidRDefault="0014583E" w:rsidP="006721EF">
      <w:pPr>
        <w:pStyle w:val="Heading2"/>
      </w:pPr>
      <w:r>
        <w:t>DENTAL INSURANCE (OPTIONAL)</w:t>
      </w:r>
    </w:p>
    <w:p w:rsidR="0014583E" w:rsidRDefault="0014583E" w:rsidP="0014583E"/>
    <w:p w:rsidR="0014583E" w:rsidRDefault="0014583E" w:rsidP="0014583E">
      <w:r>
        <w:tab/>
        <w:t>Comprehensive dental insurance is provided thro</w:t>
      </w:r>
      <w:r w:rsidR="00B44AFF">
        <w:t xml:space="preserve">ugh Delta Dental at a cost of </w:t>
      </w:r>
      <w:r w:rsidR="00B44AFF" w:rsidRPr="00757A9A">
        <w:rPr>
          <w:highlight w:val="yellow"/>
        </w:rPr>
        <w:t>50</w:t>
      </w:r>
      <w:r w:rsidRPr="00757A9A">
        <w:rPr>
          <w:highlight w:val="yellow"/>
        </w:rPr>
        <w:t>%</w:t>
      </w:r>
      <w:r>
        <w:t xml:space="preserve"> of the premium to the employee</w:t>
      </w:r>
      <w:r w:rsidR="00757A9A">
        <w:t xml:space="preserve"> who works 30 or more hours per week</w:t>
      </w:r>
      <w:r>
        <w:t xml:space="preserve">.  If an employee has dental insurance provided through a parent or spouse, the employee is not eligible to participate in our dental plan. </w:t>
      </w:r>
    </w:p>
    <w:p w:rsidR="0014583E" w:rsidRDefault="0014583E" w:rsidP="0014583E"/>
    <w:p w:rsidR="0014583E" w:rsidRPr="0014583E" w:rsidRDefault="0014583E" w:rsidP="0014583E">
      <w:pPr>
        <w:ind w:left="1440"/>
        <w:rPr>
          <w:u w:val="single"/>
        </w:rPr>
      </w:pPr>
      <w:r w:rsidRPr="0014583E">
        <w:rPr>
          <w:u w:val="single"/>
        </w:rPr>
        <w:t>Cos</w:t>
      </w:r>
      <w:r w:rsidR="00980B23">
        <w:rPr>
          <w:u w:val="single"/>
        </w:rPr>
        <w:t>ts for 20XX-20XX</w:t>
      </w:r>
      <w:r w:rsidRPr="0014583E">
        <w:rPr>
          <w:u w:val="single"/>
        </w:rPr>
        <w:t xml:space="preserve"> Plan Year</w:t>
      </w:r>
    </w:p>
    <w:p w:rsidR="0014583E" w:rsidRDefault="00B44AFF" w:rsidP="0014583E">
      <w:pPr>
        <w:ind w:left="720" w:firstLine="720"/>
      </w:pPr>
      <w:r>
        <w:t xml:space="preserve">Employee Plan:      </w:t>
      </w:r>
      <w:r>
        <w:tab/>
        <w:t>$258 per year or $9.92</w:t>
      </w:r>
      <w:r w:rsidR="0014583E">
        <w:t xml:space="preserve"> bi-weekly</w:t>
      </w:r>
    </w:p>
    <w:p w:rsidR="0014583E" w:rsidRDefault="00B44AFF" w:rsidP="0014583E">
      <w:pPr>
        <w:ind w:left="720" w:firstLine="720"/>
      </w:pPr>
      <w:r>
        <w:t xml:space="preserve">Employee + 1 Plan: </w:t>
      </w:r>
      <w:r>
        <w:tab/>
        <w:t>$501</w:t>
      </w:r>
      <w:r w:rsidR="0014583E">
        <w:t xml:space="preserve"> pe</w:t>
      </w:r>
      <w:r>
        <w:t>r year or $19.27</w:t>
      </w:r>
      <w:r w:rsidR="0014583E">
        <w:t xml:space="preserve"> bi-weekly</w:t>
      </w:r>
    </w:p>
    <w:p w:rsidR="0014583E" w:rsidRDefault="00B44AFF" w:rsidP="0014583E">
      <w:pPr>
        <w:ind w:left="720" w:firstLine="720"/>
      </w:pPr>
      <w:r>
        <w:t xml:space="preserve">Full Family Plan:  </w:t>
      </w:r>
      <w:r>
        <w:tab/>
        <w:t>$810 per year or $31.15</w:t>
      </w:r>
      <w:r w:rsidR="0014583E">
        <w:t xml:space="preserve"> bi-weekly</w:t>
      </w:r>
    </w:p>
    <w:p w:rsidR="00807136" w:rsidRDefault="00807136" w:rsidP="00511015"/>
    <w:p w:rsidR="00511015" w:rsidRDefault="00B12047" w:rsidP="00511015">
      <w:r>
        <w:tab/>
      </w:r>
      <w:r w:rsidR="00B44AFF">
        <w:t>Employees who work 20-29.5</w:t>
      </w:r>
      <w:r w:rsidR="00807136">
        <w:t xml:space="preserve"> hours </w:t>
      </w:r>
      <w:r w:rsidR="00614F66">
        <w:t>per week are eligible for dental</w:t>
      </w:r>
      <w:r w:rsidR="00807136">
        <w:t xml:space="preserve"> care coverage through the employer.  However the empl</w:t>
      </w:r>
      <w:r w:rsidR="00B44AFF">
        <w:t xml:space="preserve">oyer will charge the employee </w:t>
      </w:r>
      <w:r w:rsidR="00B44AFF" w:rsidRPr="00757A9A">
        <w:rPr>
          <w:highlight w:val="yellow"/>
        </w:rPr>
        <w:t>100</w:t>
      </w:r>
      <w:r w:rsidR="00807136" w:rsidRPr="00757A9A">
        <w:rPr>
          <w:highlight w:val="yellow"/>
        </w:rPr>
        <w:t>%</w:t>
      </w:r>
      <w:r w:rsidR="00807136">
        <w:t xml:space="preserve"> of t</w:t>
      </w:r>
      <w:r w:rsidR="00614F66">
        <w:t>he total cost of the dental</w:t>
      </w:r>
      <w:r w:rsidR="00807136">
        <w:t xml:space="preserve"> care premium through pre-tax payroll deductions.</w:t>
      </w:r>
    </w:p>
    <w:p w:rsidR="0014583E" w:rsidRPr="0014583E" w:rsidRDefault="00511015" w:rsidP="0014583E">
      <w:r>
        <w:tab/>
      </w:r>
      <w:r>
        <w:tab/>
      </w:r>
    </w:p>
    <w:p w:rsidR="00621284" w:rsidRDefault="00621284" w:rsidP="00822E5A">
      <w:pPr>
        <w:pStyle w:val="Heading2"/>
      </w:pPr>
    </w:p>
    <w:p w:rsidR="00822E5A" w:rsidRDefault="00822E5A" w:rsidP="00822E5A">
      <w:pPr>
        <w:pStyle w:val="Heading2"/>
      </w:pPr>
      <w:r>
        <w:t>VISION INSURANCE (OPTIONAL)</w:t>
      </w:r>
    </w:p>
    <w:p w:rsidR="00822E5A" w:rsidRDefault="00822E5A" w:rsidP="00822E5A"/>
    <w:p w:rsidR="00822E5A" w:rsidRDefault="00822E5A" w:rsidP="00822E5A">
      <w:r>
        <w:tab/>
        <w:t>Comprehensive vision insurance is provided</w:t>
      </w:r>
      <w:r w:rsidR="00980B23">
        <w:t xml:space="preserve"> to employees who work 20 or more hours per week</w:t>
      </w:r>
      <w:r>
        <w:t xml:space="preserve"> through BCBS at a cost of 100% of the premium to the employee.  </w:t>
      </w:r>
    </w:p>
    <w:p w:rsidR="00822E5A" w:rsidRDefault="00822E5A" w:rsidP="00822E5A"/>
    <w:p w:rsidR="00822E5A" w:rsidRPr="0014583E" w:rsidRDefault="00822E5A" w:rsidP="00822E5A">
      <w:pPr>
        <w:ind w:left="1440"/>
        <w:rPr>
          <w:u w:val="single"/>
        </w:rPr>
      </w:pPr>
      <w:r w:rsidRPr="0014583E">
        <w:rPr>
          <w:u w:val="single"/>
        </w:rPr>
        <w:t>Cos</w:t>
      </w:r>
      <w:r w:rsidR="00757A9A">
        <w:rPr>
          <w:u w:val="single"/>
        </w:rPr>
        <w:t>ts for 2019-2020</w:t>
      </w:r>
      <w:r w:rsidRPr="0014583E">
        <w:rPr>
          <w:u w:val="single"/>
        </w:rPr>
        <w:t xml:space="preserve"> Plan Year</w:t>
      </w:r>
    </w:p>
    <w:p w:rsidR="00822E5A" w:rsidRDefault="005D3320" w:rsidP="00822E5A">
      <w:pPr>
        <w:ind w:left="720" w:firstLine="720"/>
      </w:pPr>
      <w:r>
        <w:t xml:space="preserve">Employee Plan:      </w:t>
      </w:r>
      <w:r>
        <w:tab/>
        <w:t>$90 per year or $3.46</w:t>
      </w:r>
      <w:r w:rsidR="00822E5A">
        <w:t xml:space="preserve"> bi-weekly</w:t>
      </w:r>
    </w:p>
    <w:p w:rsidR="00822E5A" w:rsidRDefault="005D3320" w:rsidP="00822E5A">
      <w:pPr>
        <w:ind w:left="720" w:firstLine="720"/>
      </w:pPr>
      <w:r>
        <w:t xml:space="preserve">Employee + 1 Plan: </w:t>
      </w:r>
      <w:r>
        <w:tab/>
        <w:t>$168 per year or $6.46</w:t>
      </w:r>
      <w:r w:rsidR="00822E5A">
        <w:t xml:space="preserve"> bi-weekly</w:t>
      </w:r>
    </w:p>
    <w:p w:rsidR="00822E5A" w:rsidRDefault="005D3320" w:rsidP="00822E5A">
      <w:pPr>
        <w:ind w:left="720" w:firstLine="720"/>
      </w:pPr>
      <w:r>
        <w:t xml:space="preserve">Full Family Plan:  </w:t>
      </w:r>
      <w:r>
        <w:tab/>
        <w:t>$264 per year or $10.15</w:t>
      </w:r>
      <w:r w:rsidR="00822E5A">
        <w:t xml:space="preserve"> bi-weekly</w:t>
      </w:r>
    </w:p>
    <w:p w:rsidR="00822E5A" w:rsidRDefault="00822E5A" w:rsidP="00822E5A"/>
    <w:p w:rsidR="004D57AE" w:rsidRDefault="004D57AE" w:rsidP="004D57AE">
      <w:pPr>
        <w:pStyle w:val="Heading2"/>
        <w:rPr>
          <w:caps/>
        </w:rPr>
      </w:pPr>
      <w:r w:rsidRPr="00FB5214">
        <w:rPr>
          <w:caps/>
          <w:highlight w:val="yellow"/>
        </w:rPr>
        <w:t>Supplemental Insurance (if your parish offers it)</w:t>
      </w:r>
    </w:p>
    <w:p w:rsidR="004D57AE" w:rsidRDefault="004D57AE" w:rsidP="00757A9A">
      <w:pPr>
        <w:ind w:firstLine="720"/>
      </w:pPr>
      <w:r>
        <w:t xml:space="preserve">Employees are eligible for supplemental life insurance policies for themselves and their dependents through the Michigan Catholic Conference.   The Diocese of Lansing currently has an employer provided benefit relationship with Aflac.  Employees are eligible for Aflac supplemental insurance products for themselves and their families.  Please contact your payroll administrator for more information on enrollment in the Aflac products. </w:t>
      </w:r>
    </w:p>
    <w:p w:rsidR="004D57AE" w:rsidRPr="00C5013F" w:rsidRDefault="004D57AE" w:rsidP="004D57AE"/>
    <w:p w:rsidR="003B2C0C" w:rsidRPr="0031211B" w:rsidRDefault="006721EF" w:rsidP="006721EF">
      <w:pPr>
        <w:pStyle w:val="Heading2"/>
      </w:pPr>
      <w:r>
        <w:t xml:space="preserve">EMPLOYEE </w:t>
      </w:r>
      <w:r w:rsidR="003B2C0C" w:rsidRPr="0031211B">
        <w:t>LEAVE TIME</w:t>
      </w:r>
      <w:r w:rsidR="00822E5A">
        <w:t xml:space="preserve"> </w:t>
      </w:r>
    </w:p>
    <w:p w:rsidR="003B2C0C" w:rsidRPr="0031211B" w:rsidRDefault="003B2C0C" w:rsidP="008E3169">
      <w:pPr>
        <w:widowControl w:val="0"/>
        <w:jc w:val="both"/>
        <w:rPr>
          <w:szCs w:val="24"/>
        </w:rPr>
      </w:pPr>
    </w:p>
    <w:p w:rsidR="005D3320" w:rsidRDefault="003B2C0C" w:rsidP="008E3169">
      <w:pPr>
        <w:widowControl w:val="0"/>
        <w:jc w:val="both"/>
        <w:rPr>
          <w:szCs w:val="24"/>
        </w:rPr>
      </w:pPr>
      <w:r w:rsidRPr="0031211B">
        <w:rPr>
          <w:szCs w:val="24"/>
        </w:rPr>
        <w:tab/>
      </w:r>
      <w:r w:rsidR="005D3320">
        <w:rPr>
          <w:szCs w:val="24"/>
        </w:rPr>
        <w:t>The purpose of paid vacation and sick leave is to provide employees with flexible paid time off from work that can be used for such needs as vacation, illnesses, doctor appointments, family needs, and other activities of the employee’s choosing.  Vacation and sick leave are not designed to supplement an employee’s income, but to ensure a steady pay when an employee needs to be absent from work.  Therefore employees are not permitted to be paid</w:t>
      </w:r>
      <w:r w:rsidR="0032448F">
        <w:rPr>
          <w:szCs w:val="24"/>
        </w:rPr>
        <w:t xml:space="preserve"> for additional hours</w:t>
      </w:r>
      <w:r w:rsidR="005D3320">
        <w:rPr>
          <w:szCs w:val="24"/>
        </w:rPr>
        <w:t xml:space="preserve"> than their normal regular schedule by using paid time off.  </w:t>
      </w:r>
    </w:p>
    <w:p w:rsidR="005D3320" w:rsidRDefault="005D3320" w:rsidP="008E3169">
      <w:pPr>
        <w:widowControl w:val="0"/>
        <w:jc w:val="both"/>
        <w:rPr>
          <w:szCs w:val="24"/>
        </w:rPr>
      </w:pPr>
    </w:p>
    <w:p w:rsidR="003B2C0C" w:rsidRPr="0031211B" w:rsidRDefault="00BE08BB" w:rsidP="005D3320">
      <w:pPr>
        <w:widowControl w:val="0"/>
        <w:ind w:firstLine="720"/>
        <w:jc w:val="both"/>
        <w:rPr>
          <w:szCs w:val="24"/>
        </w:rPr>
      </w:pPr>
      <w:r>
        <w:rPr>
          <w:szCs w:val="24"/>
        </w:rPr>
        <w:t>Vacation leave</w:t>
      </w:r>
      <w:r w:rsidR="003B2C0C" w:rsidRPr="0031211B">
        <w:rPr>
          <w:szCs w:val="24"/>
        </w:rPr>
        <w:t xml:space="preserve"> is calculated and recorded on a fiscal-year basis (July 1 – June 30).  </w:t>
      </w:r>
      <w:r w:rsidR="00E42921">
        <w:rPr>
          <w:szCs w:val="24"/>
        </w:rPr>
        <w:t>Employees working at least 30 hours per week</w:t>
      </w:r>
      <w:r w:rsidR="006721EF">
        <w:rPr>
          <w:szCs w:val="24"/>
        </w:rPr>
        <w:t xml:space="preserve"> year round</w:t>
      </w:r>
      <w:r w:rsidR="003447D9">
        <w:rPr>
          <w:szCs w:val="24"/>
        </w:rPr>
        <w:t xml:space="preserve"> </w:t>
      </w:r>
      <w:r w:rsidR="006721EF">
        <w:rPr>
          <w:szCs w:val="24"/>
        </w:rPr>
        <w:t>may use</w:t>
      </w:r>
      <w:r w:rsidR="00E42921">
        <w:rPr>
          <w:szCs w:val="24"/>
        </w:rPr>
        <w:t xml:space="preserve"> up to</w:t>
      </w:r>
      <w:r w:rsidR="006721EF">
        <w:rPr>
          <w:szCs w:val="24"/>
        </w:rPr>
        <w:t xml:space="preserve"> 10</w:t>
      </w:r>
      <w:r>
        <w:rPr>
          <w:szCs w:val="24"/>
        </w:rPr>
        <w:t xml:space="preserve"> days of vacation</w:t>
      </w:r>
      <w:r w:rsidR="003B2C0C" w:rsidRPr="0031211B">
        <w:rPr>
          <w:szCs w:val="24"/>
        </w:rPr>
        <w:t xml:space="preserve"> leave with pay in the first year of emplo</w:t>
      </w:r>
      <w:r w:rsidR="006721EF">
        <w:rPr>
          <w:szCs w:val="24"/>
        </w:rPr>
        <w:t>yment</w:t>
      </w:r>
      <w:r w:rsidR="003B2C0C" w:rsidRPr="0031211B">
        <w:rPr>
          <w:szCs w:val="24"/>
        </w:rPr>
        <w:t xml:space="preserve"> through the fifth year of employment, 15 days in the sixth through the tenth year of employment, and 20 days in the eleventh and subsequent years of employment.  </w:t>
      </w:r>
      <w:r w:rsidR="003447D9">
        <w:rPr>
          <w:szCs w:val="24"/>
        </w:rPr>
        <w:t>Employ</w:t>
      </w:r>
      <w:r w:rsidR="00616B5C">
        <w:rPr>
          <w:szCs w:val="24"/>
        </w:rPr>
        <w:t xml:space="preserve">ees working less than </w:t>
      </w:r>
      <w:r w:rsidR="00E42921">
        <w:rPr>
          <w:szCs w:val="24"/>
        </w:rPr>
        <w:t>30 hours per week</w:t>
      </w:r>
      <w:r w:rsidR="00616B5C">
        <w:rPr>
          <w:szCs w:val="24"/>
        </w:rPr>
        <w:t xml:space="preserve"> </w:t>
      </w:r>
      <w:r w:rsidR="00E42921">
        <w:rPr>
          <w:szCs w:val="24"/>
        </w:rPr>
        <w:t xml:space="preserve">are not eligible for paid time off benefits. </w:t>
      </w:r>
      <w:r w:rsidR="003447D9">
        <w:rPr>
          <w:szCs w:val="24"/>
        </w:rPr>
        <w:t xml:space="preserve"> </w:t>
      </w:r>
      <w:r w:rsidR="003B2C0C" w:rsidRPr="0031211B">
        <w:rPr>
          <w:szCs w:val="24"/>
        </w:rPr>
        <w:t>An employee hired on a date other than July 1 receives a prorated share of the first year’s annual leave.  A person hired between July 1 and May 31 is deemed, for the purpose of calculating annual leave, to begin the second y</w:t>
      </w:r>
      <w:r w:rsidR="00E42921">
        <w:rPr>
          <w:szCs w:val="24"/>
        </w:rPr>
        <w:t>ear of employment on</w:t>
      </w:r>
      <w:r w:rsidR="003B2C0C" w:rsidRPr="0031211B">
        <w:rPr>
          <w:szCs w:val="24"/>
        </w:rPr>
        <w:t xml:space="preserve"> the succeeding July 1.  </w:t>
      </w:r>
      <w:r>
        <w:rPr>
          <w:szCs w:val="24"/>
        </w:rPr>
        <w:t>Unused vacation</w:t>
      </w:r>
      <w:r w:rsidR="000F6E22" w:rsidRPr="00091F07">
        <w:rPr>
          <w:szCs w:val="24"/>
        </w:rPr>
        <w:t xml:space="preserve"> leave will a</w:t>
      </w:r>
      <w:r w:rsidR="00616B5C">
        <w:rPr>
          <w:szCs w:val="24"/>
        </w:rPr>
        <w:t xml:space="preserve">ccumulate up to a maximum of </w:t>
      </w:r>
      <w:r w:rsidR="00E42921">
        <w:rPr>
          <w:szCs w:val="24"/>
        </w:rPr>
        <w:t>240</w:t>
      </w:r>
      <w:r w:rsidR="000F6E22" w:rsidRPr="00091F07">
        <w:rPr>
          <w:szCs w:val="24"/>
        </w:rPr>
        <w:t xml:space="preserve"> hours</w:t>
      </w:r>
      <w:r w:rsidR="00E42921">
        <w:rPr>
          <w:szCs w:val="24"/>
        </w:rPr>
        <w:t xml:space="preserve"> or 6 weeks for 40</w:t>
      </w:r>
      <w:r>
        <w:rPr>
          <w:szCs w:val="24"/>
        </w:rPr>
        <w:t xml:space="preserve"> hour/week employees</w:t>
      </w:r>
      <w:r w:rsidR="000F6E22" w:rsidRPr="00091F07">
        <w:rPr>
          <w:szCs w:val="24"/>
        </w:rPr>
        <w:t xml:space="preserve">. </w:t>
      </w:r>
      <w:r w:rsidR="005D3320">
        <w:rPr>
          <w:szCs w:val="24"/>
        </w:rPr>
        <w:t xml:space="preserve"> This amount is pro-rated for employees who work less than 40 hrs/week.</w:t>
      </w:r>
      <w:r w:rsidR="000F6E22">
        <w:rPr>
          <w:color w:val="FF0000"/>
          <w:szCs w:val="24"/>
        </w:rPr>
        <w:t xml:space="preserve"> </w:t>
      </w:r>
      <w:r w:rsidR="003B2C0C" w:rsidRPr="0031211B">
        <w:rPr>
          <w:szCs w:val="24"/>
        </w:rPr>
        <w:t xml:space="preserve">When a person’s employment ends, the person will receive only the prorated portion of the </w:t>
      </w:r>
      <w:r w:rsidR="00E42921">
        <w:rPr>
          <w:szCs w:val="24"/>
        </w:rPr>
        <w:t>vacation leave</w:t>
      </w:r>
      <w:r w:rsidR="003B2C0C" w:rsidRPr="0031211B">
        <w:rPr>
          <w:szCs w:val="24"/>
        </w:rPr>
        <w:t xml:space="preserve"> for the fiscal year in which employment ends.  A person hired from a parish, school, or agency of the Diocese of Lansing will, for the purpose of calculating </w:t>
      </w:r>
      <w:r w:rsidR="00E42921">
        <w:rPr>
          <w:szCs w:val="24"/>
        </w:rPr>
        <w:t>vacation</w:t>
      </w:r>
      <w:r w:rsidR="003B2C0C" w:rsidRPr="0031211B">
        <w:rPr>
          <w:szCs w:val="24"/>
        </w:rPr>
        <w:t xml:space="preserve"> leave, be credited with seniority gained at that previous employment.</w:t>
      </w:r>
    </w:p>
    <w:p w:rsidR="008642BA" w:rsidRPr="0031211B" w:rsidRDefault="008642BA" w:rsidP="008E3169">
      <w:pPr>
        <w:widowControl w:val="0"/>
        <w:jc w:val="both"/>
        <w:rPr>
          <w:szCs w:val="24"/>
        </w:rPr>
      </w:pPr>
    </w:p>
    <w:p w:rsidR="00437CD1" w:rsidRDefault="003B2C0C" w:rsidP="008E3169">
      <w:pPr>
        <w:widowControl w:val="0"/>
        <w:jc w:val="both"/>
        <w:rPr>
          <w:szCs w:val="24"/>
        </w:rPr>
      </w:pPr>
      <w:r w:rsidRPr="0031211B">
        <w:rPr>
          <w:szCs w:val="24"/>
        </w:rPr>
        <w:tab/>
        <w:t xml:space="preserve">Sick leave is calculated and recorded on a fiscal-year basis (July 1 </w:t>
      </w:r>
      <w:r w:rsidR="00B84F61">
        <w:rPr>
          <w:szCs w:val="24"/>
        </w:rPr>
        <w:t>– June 30).  An employee accrues</w:t>
      </w:r>
      <w:r w:rsidR="00437CD1">
        <w:rPr>
          <w:szCs w:val="24"/>
        </w:rPr>
        <w:t xml:space="preserve"> 13</w:t>
      </w:r>
      <w:r w:rsidRPr="0031211B">
        <w:rPr>
          <w:szCs w:val="24"/>
        </w:rPr>
        <w:t xml:space="preserve"> days of sick leave with pay</w:t>
      </w:r>
      <w:r w:rsidR="00BE08BB">
        <w:rPr>
          <w:szCs w:val="24"/>
        </w:rPr>
        <w:t xml:space="preserve"> per year</w:t>
      </w:r>
      <w:r w:rsidRPr="0031211B">
        <w:rPr>
          <w:szCs w:val="24"/>
        </w:rPr>
        <w:t>.  Employees hired on a date other than July 1 receive a prorated share of the first year’s sick leave.  Unused sick leave can be carried over from</w:t>
      </w:r>
      <w:r w:rsidR="00E42921">
        <w:rPr>
          <w:szCs w:val="24"/>
        </w:rPr>
        <w:t xml:space="preserve"> year to year, but only until a maximum of 40</w:t>
      </w:r>
      <w:r w:rsidRPr="0031211B">
        <w:rPr>
          <w:szCs w:val="24"/>
        </w:rPr>
        <w:t xml:space="preserve"> days have been accumulated.  No higher number of days may accumulate.  When a person’s employment ends, the person is not paid for unused sick leave.  </w:t>
      </w:r>
      <w:r w:rsidR="00E04E00">
        <w:rPr>
          <w:szCs w:val="24"/>
        </w:rPr>
        <w:t xml:space="preserve">A person hired from a parish, school, or agency of the Diocese of Lansing will, for the purpose of calculating sick time, receive their carried over sick days gained at that previous </w:t>
      </w:r>
      <w:r w:rsidR="00E04E00">
        <w:rPr>
          <w:szCs w:val="24"/>
        </w:rPr>
        <w:lastRenderedPageBreak/>
        <w:t xml:space="preserve">employment. </w:t>
      </w:r>
    </w:p>
    <w:p w:rsidR="00437CD1" w:rsidRDefault="00437CD1" w:rsidP="008E3169">
      <w:pPr>
        <w:widowControl w:val="0"/>
        <w:jc w:val="both"/>
        <w:rPr>
          <w:szCs w:val="24"/>
        </w:rPr>
      </w:pPr>
    </w:p>
    <w:p w:rsidR="006721EF" w:rsidRPr="0031211B" w:rsidRDefault="00437CD1" w:rsidP="008E3169">
      <w:pPr>
        <w:widowControl w:val="0"/>
        <w:jc w:val="both"/>
        <w:rPr>
          <w:szCs w:val="24"/>
        </w:rPr>
      </w:pPr>
      <w:r>
        <w:rPr>
          <w:szCs w:val="24"/>
        </w:rPr>
        <w:tab/>
      </w:r>
      <w:r w:rsidR="00E42921">
        <w:rPr>
          <w:szCs w:val="24"/>
        </w:rPr>
        <w:t xml:space="preserve">  </w:t>
      </w:r>
      <w:r w:rsidR="005D3320">
        <w:rPr>
          <w:szCs w:val="24"/>
        </w:rPr>
        <w:t>Sick leave</w:t>
      </w:r>
      <w:r w:rsidRPr="00437CD1">
        <w:rPr>
          <w:szCs w:val="24"/>
        </w:rPr>
        <w:t xml:space="preserve"> may be taken for physical or mental illness, injury; health condition; medical diagnosis, care or treatment; or preventative care, for either the employee or a member of the employee’s family. Member of the employee’s family is defined as spouse,</w:t>
      </w:r>
      <w:r w:rsidRPr="00437CD1">
        <w:rPr>
          <w:spacing w:val="72"/>
          <w:szCs w:val="24"/>
        </w:rPr>
        <w:t xml:space="preserve"> </w:t>
      </w:r>
      <w:r w:rsidRPr="00437CD1">
        <w:rPr>
          <w:szCs w:val="24"/>
        </w:rPr>
        <w:t>child,</w:t>
      </w:r>
      <w:r w:rsidRPr="00437CD1">
        <w:rPr>
          <w:spacing w:val="71"/>
          <w:szCs w:val="24"/>
        </w:rPr>
        <w:t xml:space="preserve"> </w:t>
      </w:r>
      <w:r w:rsidRPr="00437CD1">
        <w:rPr>
          <w:spacing w:val="2"/>
          <w:szCs w:val="24"/>
        </w:rPr>
        <w:t>p</w:t>
      </w:r>
      <w:r w:rsidRPr="00437CD1">
        <w:rPr>
          <w:szCs w:val="24"/>
        </w:rPr>
        <w:t>arent,</w:t>
      </w:r>
      <w:r w:rsidRPr="00437CD1">
        <w:rPr>
          <w:spacing w:val="70"/>
          <w:szCs w:val="24"/>
        </w:rPr>
        <w:t xml:space="preserve"> </w:t>
      </w:r>
      <w:r w:rsidRPr="00437CD1">
        <w:rPr>
          <w:szCs w:val="24"/>
        </w:rPr>
        <w:t>i</w:t>
      </w:r>
      <w:r w:rsidRPr="00437CD1">
        <w:rPr>
          <w:spacing w:val="4"/>
          <w:szCs w:val="24"/>
        </w:rPr>
        <w:t>n</w:t>
      </w:r>
      <w:r w:rsidRPr="00437CD1">
        <w:rPr>
          <w:szCs w:val="24"/>
        </w:rPr>
        <w:t>-</w:t>
      </w:r>
      <w:r w:rsidRPr="00437CD1">
        <w:rPr>
          <w:spacing w:val="2"/>
          <w:szCs w:val="24"/>
        </w:rPr>
        <w:t>l</w:t>
      </w:r>
      <w:r w:rsidRPr="00437CD1">
        <w:rPr>
          <w:szCs w:val="24"/>
        </w:rPr>
        <w:t>aw,</w:t>
      </w:r>
      <w:r w:rsidRPr="00437CD1">
        <w:rPr>
          <w:spacing w:val="70"/>
          <w:szCs w:val="24"/>
        </w:rPr>
        <w:t xml:space="preserve"> </w:t>
      </w:r>
      <w:r w:rsidRPr="00437CD1">
        <w:rPr>
          <w:spacing w:val="2"/>
          <w:szCs w:val="24"/>
        </w:rPr>
        <w:t>o</w:t>
      </w:r>
      <w:r w:rsidRPr="00437CD1">
        <w:rPr>
          <w:szCs w:val="24"/>
        </w:rPr>
        <w:t>r</w:t>
      </w:r>
      <w:r w:rsidRPr="00437CD1">
        <w:rPr>
          <w:spacing w:val="70"/>
          <w:szCs w:val="24"/>
        </w:rPr>
        <w:t xml:space="preserve"> </w:t>
      </w:r>
      <w:r w:rsidRPr="00437CD1">
        <w:rPr>
          <w:szCs w:val="24"/>
        </w:rPr>
        <w:t>oth</w:t>
      </w:r>
      <w:r w:rsidRPr="00437CD1">
        <w:rPr>
          <w:spacing w:val="2"/>
          <w:szCs w:val="24"/>
        </w:rPr>
        <w:t>e</w:t>
      </w:r>
      <w:r w:rsidRPr="00437CD1">
        <w:rPr>
          <w:szCs w:val="24"/>
        </w:rPr>
        <w:t>r</w:t>
      </w:r>
      <w:r w:rsidRPr="00437CD1">
        <w:rPr>
          <w:spacing w:val="69"/>
          <w:szCs w:val="24"/>
        </w:rPr>
        <w:t xml:space="preserve"> </w:t>
      </w:r>
      <w:r w:rsidRPr="00437CD1">
        <w:rPr>
          <w:szCs w:val="24"/>
        </w:rPr>
        <w:t>close</w:t>
      </w:r>
      <w:r w:rsidRPr="00437CD1">
        <w:rPr>
          <w:spacing w:val="72"/>
          <w:szCs w:val="24"/>
        </w:rPr>
        <w:t xml:space="preserve"> </w:t>
      </w:r>
      <w:r w:rsidRPr="00437CD1">
        <w:rPr>
          <w:szCs w:val="24"/>
        </w:rPr>
        <w:t>relative (including</w:t>
      </w:r>
      <w:r w:rsidRPr="00437CD1">
        <w:rPr>
          <w:spacing w:val="2"/>
          <w:szCs w:val="24"/>
        </w:rPr>
        <w:t xml:space="preserve"> </w:t>
      </w:r>
      <w:r w:rsidRPr="00437CD1">
        <w:rPr>
          <w:szCs w:val="24"/>
        </w:rPr>
        <w:t>step-rela</w:t>
      </w:r>
      <w:r w:rsidRPr="00437CD1">
        <w:rPr>
          <w:spacing w:val="3"/>
          <w:szCs w:val="24"/>
        </w:rPr>
        <w:t>t</w:t>
      </w:r>
      <w:r w:rsidRPr="00437CD1">
        <w:rPr>
          <w:szCs w:val="24"/>
        </w:rPr>
        <w:t>iv</w:t>
      </w:r>
      <w:r w:rsidRPr="00437CD1">
        <w:rPr>
          <w:spacing w:val="2"/>
          <w:szCs w:val="24"/>
        </w:rPr>
        <w:t>e</w:t>
      </w:r>
      <w:r w:rsidRPr="00437CD1">
        <w:rPr>
          <w:szCs w:val="24"/>
        </w:rPr>
        <w:t xml:space="preserve">s) </w:t>
      </w:r>
      <w:r w:rsidRPr="00437CD1">
        <w:rPr>
          <w:spacing w:val="2"/>
          <w:szCs w:val="24"/>
        </w:rPr>
        <w:t>f</w:t>
      </w:r>
      <w:r w:rsidRPr="00437CD1">
        <w:rPr>
          <w:szCs w:val="24"/>
        </w:rPr>
        <w:t>or wh</w:t>
      </w:r>
      <w:r w:rsidRPr="00437CD1">
        <w:rPr>
          <w:spacing w:val="2"/>
          <w:szCs w:val="24"/>
        </w:rPr>
        <w:t>o</w:t>
      </w:r>
      <w:r w:rsidRPr="00437CD1">
        <w:rPr>
          <w:szCs w:val="24"/>
        </w:rPr>
        <w:t>m</w:t>
      </w:r>
      <w:r w:rsidRPr="00437CD1">
        <w:rPr>
          <w:spacing w:val="-2"/>
          <w:szCs w:val="24"/>
        </w:rPr>
        <w:t xml:space="preserve"> </w:t>
      </w:r>
      <w:r w:rsidRPr="00437CD1">
        <w:rPr>
          <w:szCs w:val="24"/>
        </w:rPr>
        <w:t xml:space="preserve">the </w:t>
      </w:r>
      <w:r w:rsidRPr="00437CD1">
        <w:rPr>
          <w:spacing w:val="2"/>
          <w:szCs w:val="24"/>
        </w:rPr>
        <w:t>e</w:t>
      </w:r>
      <w:r w:rsidRPr="00437CD1">
        <w:rPr>
          <w:szCs w:val="24"/>
        </w:rPr>
        <w:t>mpl</w:t>
      </w:r>
      <w:r w:rsidRPr="00437CD1">
        <w:rPr>
          <w:spacing w:val="2"/>
          <w:szCs w:val="24"/>
        </w:rPr>
        <w:t>o</w:t>
      </w:r>
      <w:r w:rsidRPr="00437CD1">
        <w:rPr>
          <w:spacing w:val="-4"/>
          <w:szCs w:val="24"/>
        </w:rPr>
        <w:t>y</w:t>
      </w:r>
      <w:r w:rsidRPr="00437CD1">
        <w:rPr>
          <w:spacing w:val="1"/>
          <w:szCs w:val="24"/>
        </w:rPr>
        <w:t>e</w:t>
      </w:r>
      <w:r w:rsidRPr="00437CD1">
        <w:rPr>
          <w:szCs w:val="24"/>
        </w:rPr>
        <w:t>e</w:t>
      </w:r>
      <w:r w:rsidRPr="00437CD1">
        <w:rPr>
          <w:spacing w:val="2"/>
          <w:szCs w:val="24"/>
        </w:rPr>
        <w:t xml:space="preserve"> </w:t>
      </w:r>
      <w:r w:rsidRPr="00437CD1">
        <w:rPr>
          <w:szCs w:val="24"/>
        </w:rPr>
        <w:t>provid</w:t>
      </w:r>
      <w:r w:rsidRPr="00437CD1">
        <w:rPr>
          <w:spacing w:val="3"/>
          <w:szCs w:val="24"/>
        </w:rPr>
        <w:t>e</w:t>
      </w:r>
      <w:r w:rsidRPr="00437CD1">
        <w:rPr>
          <w:szCs w:val="24"/>
        </w:rPr>
        <w:t xml:space="preserve">s care.  The paid leave may also be taken by the employee if they or a family member are the victim of domestic violence or sexual assault; to care for a child whose school or care facility has been closed by order of a public official; for closure of the employee’s place of business by order of a public official; or due to exposure to communicable disease that could jeopardize the health of others. Other reasons include: relocation; to meet with an attorney; to participate in a lawsuit involving domestic violence or sexual assault; or to receive services from a victim services organization.  </w:t>
      </w:r>
    </w:p>
    <w:p w:rsidR="003B2C0C" w:rsidRDefault="003B2C0C" w:rsidP="008E3169">
      <w:pPr>
        <w:widowControl w:val="0"/>
        <w:jc w:val="both"/>
        <w:rPr>
          <w:szCs w:val="24"/>
        </w:rPr>
      </w:pPr>
    </w:p>
    <w:p w:rsidR="00822E5A" w:rsidRPr="0031211B" w:rsidRDefault="00822E5A" w:rsidP="008E3169">
      <w:pPr>
        <w:widowControl w:val="0"/>
        <w:jc w:val="both"/>
        <w:rPr>
          <w:szCs w:val="24"/>
        </w:rPr>
      </w:pPr>
      <w:r>
        <w:rPr>
          <w:szCs w:val="24"/>
        </w:rPr>
        <w:tab/>
        <w:t>Paid leave time is never considered work time when calculating overtime.</w:t>
      </w:r>
      <w:r w:rsidR="005D3320">
        <w:rPr>
          <w:szCs w:val="24"/>
        </w:rPr>
        <w:t xml:space="preserve">  </w:t>
      </w:r>
    </w:p>
    <w:p w:rsidR="00E04E00" w:rsidRPr="0032448F" w:rsidRDefault="003B2C0C" w:rsidP="0032448F">
      <w:pPr>
        <w:widowControl w:val="0"/>
        <w:jc w:val="both"/>
        <w:rPr>
          <w:szCs w:val="24"/>
        </w:rPr>
      </w:pPr>
      <w:r w:rsidRPr="0031211B">
        <w:rPr>
          <w:szCs w:val="24"/>
        </w:rPr>
        <w:tab/>
      </w:r>
    </w:p>
    <w:p w:rsidR="00757A9A" w:rsidRDefault="00757A9A" w:rsidP="00757A9A">
      <w:pPr>
        <w:pStyle w:val="Heading2"/>
        <w:rPr>
          <w:caps/>
        </w:rPr>
      </w:pPr>
      <w:r w:rsidRPr="00FB5214">
        <w:rPr>
          <w:caps/>
          <w:highlight w:val="yellow"/>
        </w:rPr>
        <w:t>(OPTIONAl Policy in Lieu of Vacation and Sick</w:t>
      </w:r>
      <w:r w:rsidR="00CF1EFB" w:rsidRPr="00FB5214">
        <w:rPr>
          <w:caps/>
          <w:highlight w:val="yellow"/>
        </w:rPr>
        <w:t xml:space="preserve"> Leave</w:t>
      </w:r>
      <w:r w:rsidRPr="00FB5214">
        <w:rPr>
          <w:caps/>
          <w:highlight w:val="yellow"/>
        </w:rPr>
        <w:t>)</w:t>
      </w:r>
    </w:p>
    <w:p w:rsidR="00757A9A" w:rsidRPr="00237425" w:rsidRDefault="00757A9A" w:rsidP="00757A9A">
      <w:pPr>
        <w:pStyle w:val="Heading2"/>
        <w:rPr>
          <w:caps/>
        </w:rPr>
      </w:pPr>
      <w:r w:rsidRPr="00237425">
        <w:rPr>
          <w:caps/>
        </w:rPr>
        <w:t xml:space="preserve">Paid Time-Off (PTO) </w:t>
      </w:r>
    </w:p>
    <w:p w:rsidR="00757A9A" w:rsidRDefault="00757A9A" w:rsidP="00757A9A">
      <w:pPr>
        <w:ind w:firstLine="720"/>
      </w:pPr>
      <w:r>
        <w:t xml:space="preserve">Employees who work 30 or more hours per week will earn paid time off based on years of service.  These hours will be credited in full to each employee on July 1 each year. </w:t>
      </w:r>
    </w:p>
    <w:p w:rsidR="00757A9A" w:rsidRDefault="00757A9A" w:rsidP="00757A9A">
      <w:r>
        <w:t xml:space="preserve">Employees may use PTO for any time off they need.  Employees must request paid time off at least two weeks in advance of use except for time used for emergencies and illnesses.  Immediate supervisor approves all requests and may designate busy seasons of the year that preclude approved time off. </w:t>
      </w:r>
    </w:p>
    <w:p w:rsidR="00757A9A" w:rsidRDefault="00757A9A" w:rsidP="00757A9A"/>
    <w:p w:rsidR="00757A9A" w:rsidRDefault="00757A9A" w:rsidP="00757A9A"/>
    <w:p w:rsidR="00757A9A" w:rsidRPr="000C526C" w:rsidRDefault="00757A9A" w:rsidP="00757A9A">
      <w:pPr>
        <w:rPr>
          <w:u w:val="single"/>
        </w:rPr>
      </w:pPr>
      <w:r w:rsidRPr="000C526C">
        <w:rPr>
          <w:u w:val="single"/>
        </w:rPr>
        <w:t>Non-Exempt Employees (July 1 anniversary date)</w:t>
      </w:r>
    </w:p>
    <w:p w:rsidR="00757A9A" w:rsidRDefault="00757A9A" w:rsidP="00757A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7A9A" w:rsidTr="000575BC">
        <w:tc>
          <w:tcPr>
            <w:tcW w:w="4788" w:type="dxa"/>
            <w:hideMark/>
          </w:tcPr>
          <w:p w:rsidR="00757A9A" w:rsidRDefault="00757A9A" w:rsidP="000575BC">
            <w:pPr>
              <w:rPr>
                <w:sz w:val="22"/>
                <w:szCs w:val="22"/>
              </w:rPr>
            </w:pPr>
            <w:r>
              <w:t>Hire date through end of fiscal year  (June 30)</w:t>
            </w:r>
          </w:p>
        </w:tc>
        <w:tc>
          <w:tcPr>
            <w:tcW w:w="4788" w:type="dxa"/>
            <w:hideMark/>
          </w:tcPr>
          <w:p w:rsidR="00757A9A" w:rsidRDefault="00757A9A" w:rsidP="000575BC">
            <w:pPr>
              <w:rPr>
                <w:sz w:val="22"/>
                <w:szCs w:val="22"/>
              </w:rPr>
            </w:pPr>
            <w:r>
              <w:t>10 days of PTO (pro-rated)</w:t>
            </w:r>
          </w:p>
        </w:tc>
      </w:tr>
      <w:tr w:rsidR="00757A9A" w:rsidTr="000575BC">
        <w:tc>
          <w:tcPr>
            <w:tcW w:w="4788" w:type="dxa"/>
            <w:hideMark/>
          </w:tcPr>
          <w:p w:rsidR="00757A9A" w:rsidRDefault="00757A9A" w:rsidP="000575BC">
            <w:pPr>
              <w:rPr>
                <w:sz w:val="22"/>
                <w:szCs w:val="22"/>
              </w:rPr>
            </w:pPr>
            <w:r>
              <w:t>Beginning of 1</w:t>
            </w:r>
            <w:r>
              <w:rPr>
                <w:vertAlign w:val="superscript"/>
              </w:rPr>
              <w:t>st</w:t>
            </w:r>
            <w:r>
              <w:t xml:space="preserve"> year – end of 4</w:t>
            </w:r>
            <w:r>
              <w:rPr>
                <w:vertAlign w:val="superscript"/>
              </w:rPr>
              <w:t>th</w:t>
            </w:r>
            <w:r>
              <w:t xml:space="preserve"> year</w:t>
            </w:r>
          </w:p>
        </w:tc>
        <w:tc>
          <w:tcPr>
            <w:tcW w:w="4788" w:type="dxa"/>
            <w:hideMark/>
          </w:tcPr>
          <w:p w:rsidR="00757A9A" w:rsidRDefault="00757A9A" w:rsidP="000575BC">
            <w:pPr>
              <w:rPr>
                <w:sz w:val="22"/>
                <w:szCs w:val="22"/>
              </w:rPr>
            </w:pPr>
            <w:r>
              <w:t>15 days of PTO</w:t>
            </w:r>
          </w:p>
        </w:tc>
      </w:tr>
      <w:tr w:rsidR="00757A9A" w:rsidTr="000575BC">
        <w:tc>
          <w:tcPr>
            <w:tcW w:w="4788" w:type="dxa"/>
            <w:hideMark/>
          </w:tcPr>
          <w:p w:rsidR="00757A9A" w:rsidRDefault="00757A9A" w:rsidP="000575BC">
            <w:pPr>
              <w:rPr>
                <w:sz w:val="22"/>
                <w:szCs w:val="22"/>
              </w:rPr>
            </w:pPr>
            <w:r>
              <w:t>Beginning of 5</w:t>
            </w:r>
            <w:r>
              <w:rPr>
                <w:vertAlign w:val="superscript"/>
              </w:rPr>
              <w:t>th</w:t>
            </w:r>
            <w:r>
              <w:t xml:space="preserve"> year – end of 9</w:t>
            </w:r>
            <w:r>
              <w:rPr>
                <w:vertAlign w:val="superscript"/>
              </w:rPr>
              <w:t>th</w:t>
            </w:r>
            <w:r>
              <w:t xml:space="preserve"> year</w:t>
            </w:r>
          </w:p>
        </w:tc>
        <w:tc>
          <w:tcPr>
            <w:tcW w:w="4788" w:type="dxa"/>
            <w:hideMark/>
          </w:tcPr>
          <w:p w:rsidR="00757A9A" w:rsidRDefault="00757A9A" w:rsidP="000575BC">
            <w:pPr>
              <w:rPr>
                <w:sz w:val="22"/>
                <w:szCs w:val="22"/>
              </w:rPr>
            </w:pPr>
            <w:r>
              <w:t>20 days of PTO</w:t>
            </w:r>
          </w:p>
        </w:tc>
      </w:tr>
      <w:tr w:rsidR="00757A9A" w:rsidTr="000575BC">
        <w:tc>
          <w:tcPr>
            <w:tcW w:w="4788" w:type="dxa"/>
            <w:hideMark/>
          </w:tcPr>
          <w:p w:rsidR="00757A9A" w:rsidRDefault="00757A9A" w:rsidP="000575BC">
            <w:pPr>
              <w:rPr>
                <w:sz w:val="22"/>
                <w:szCs w:val="22"/>
              </w:rPr>
            </w:pPr>
            <w:r>
              <w:t>Beginning of 10</w:t>
            </w:r>
            <w:r>
              <w:rPr>
                <w:vertAlign w:val="superscript"/>
              </w:rPr>
              <w:t>th</w:t>
            </w:r>
            <w:r>
              <w:t xml:space="preserve"> year and beyond</w:t>
            </w:r>
          </w:p>
        </w:tc>
        <w:tc>
          <w:tcPr>
            <w:tcW w:w="4788" w:type="dxa"/>
            <w:hideMark/>
          </w:tcPr>
          <w:p w:rsidR="00757A9A" w:rsidRDefault="00757A9A" w:rsidP="000575BC">
            <w:pPr>
              <w:rPr>
                <w:sz w:val="22"/>
                <w:szCs w:val="22"/>
              </w:rPr>
            </w:pPr>
            <w:r>
              <w:t>25 days of PTO</w:t>
            </w:r>
          </w:p>
        </w:tc>
      </w:tr>
    </w:tbl>
    <w:p w:rsidR="00757A9A" w:rsidRDefault="00757A9A" w:rsidP="00757A9A"/>
    <w:p w:rsidR="00757A9A" w:rsidRPr="000C526C" w:rsidRDefault="00757A9A" w:rsidP="00757A9A">
      <w:pPr>
        <w:rPr>
          <w:u w:val="single"/>
        </w:rPr>
      </w:pPr>
      <w:r w:rsidRPr="000C526C">
        <w:rPr>
          <w:u w:val="single"/>
        </w:rPr>
        <w:t>Exempt Employees (July 1 anniversary date)</w:t>
      </w:r>
    </w:p>
    <w:p w:rsidR="00757A9A" w:rsidRDefault="00757A9A" w:rsidP="00757A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7A9A" w:rsidTr="000575BC">
        <w:tc>
          <w:tcPr>
            <w:tcW w:w="4788" w:type="dxa"/>
            <w:hideMark/>
          </w:tcPr>
          <w:p w:rsidR="00757A9A" w:rsidRDefault="00757A9A" w:rsidP="000575BC">
            <w:pPr>
              <w:rPr>
                <w:sz w:val="22"/>
                <w:szCs w:val="22"/>
              </w:rPr>
            </w:pPr>
            <w:r>
              <w:t>Hire date through end of fiscal year (June 30)</w:t>
            </w:r>
          </w:p>
        </w:tc>
        <w:tc>
          <w:tcPr>
            <w:tcW w:w="4788" w:type="dxa"/>
            <w:hideMark/>
          </w:tcPr>
          <w:p w:rsidR="00757A9A" w:rsidRDefault="00757A9A" w:rsidP="000575BC">
            <w:pPr>
              <w:rPr>
                <w:sz w:val="22"/>
                <w:szCs w:val="22"/>
              </w:rPr>
            </w:pPr>
            <w:r>
              <w:t>10 days of PTO (pro-rated)</w:t>
            </w:r>
          </w:p>
        </w:tc>
      </w:tr>
      <w:tr w:rsidR="00757A9A" w:rsidTr="000575BC">
        <w:tc>
          <w:tcPr>
            <w:tcW w:w="4788" w:type="dxa"/>
            <w:hideMark/>
          </w:tcPr>
          <w:p w:rsidR="00757A9A" w:rsidRDefault="00757A9A" w:rsidP="000575BC">
            <w:pPr>
              <w:rPr>
                <w:sz w:val="22"/>
                <w:szCs w:val="22"/>
              </w:rPr>
            </w:pPr>
            <w:r>
              <w:t>Beginning of 1</w:t>
            </w:r>
            <w:r>
              <w:rPr>
                <w:vertAlign w:val="superscript"/>
              </w:rPr>
              <w:t>st</w:t>
            </w:r>
            <w:r>
              <w:t xml:space="preserve"> year and beyond</w:t>
            </w:r>
          </w:p>
        </w:tc>
        <w:tc>
          <w:tcPr>
            <w:tcW w:w="4788" w:type="dxa"/>
            <w:hideMark/>
          </w:tcPr>
          <w:p w:rsidR="00757A9A" w:rsidRDefault="00757A9A" w:rsidP="000575BC">
            <w:pPr>
              <w:rPr>
                <w:sz w:val="22"/>
                <w:szCs w:val="22"/>
              </w:rPr>
            </w:pPr>
            <w:r>
              <w:t>25 days of PTO</w:t>
            </w:r>
          </w:p>
        </w:tc>
      </w:tr>
    </w:tbl>
    <w:p w:rsidR="00757A9A" w:rsidRDefault="00757A9A" w:rsidP="00757A9A">
      <w:pPr>
        <w:rPr>
          <w:rFonts w:asciiTheme="minorHAnsi" w:hAnsiTheme="minorHAnsi" w:cstheme="minorBidi"/>
          <w:sz w:val="22"/>
          <w:szCs w:val="22"/>
        </w:rPr>
      </w:pPr>
    </w:p>
    <w:p w:rsidR="00757A9A" w:rsidRPr="00237425" w:rsidRDefault="00757A9A" w:rsidP="00CF1EFB">
      <w:pPr>
        <w:ind w:firstLine="720"/>
        <w:rPr>
          <w:i/>
        </w:rPr>
      </w:pPr>
      <w:r>
        <w:t>All employees will be allowed to carry a maximum cap of 35 days per year. Employees will be allowed to use up to 5 days of bereavement leave according to the published diocesan bereavement leave policy.</w:t>
      </w:r>
      <w:r>
        <w:rPr>
          <w:i/>
        </w:rPr>
        <w:t xml:space="preserve"> </w:t>
      </w:r>
      <w:r>
        <w:t xml:space="preserve">Employees will be allowed paid leave for jury duty according to the current diocesan jury duty leave policy. </w:t>
      </w:r>
    </w:p>
    <w:p w:rsidR="00757A9A" w:rsidRDefault="00757A9A" w:rsidP="00757A9A"/>
    <w:p w:rsidR="00757A9A" w:rsidRDefault="00757A9A" w:rsidP="00CF1EFB">
      <w:pPr>
        <w:ind w:firstLine="720"/>
      </w:pPr>
      <w:r>
        <w:t xml:space="preserve">Employees who are approved by the MCC for a short term disability leave will receive the 10 day waiting period as paid time off without using days from their existing PTO balances.  </w:t>
      </w:r>
    </w:p>
    <w:p w:rsidR="00757A9A" w:rsidRDefault="00757A9A" w:rsidP="00757A9A">
      <w:r>
        <w:t>Employees who leave employment for any reason will be paid out their current pro-rated PTO balance as of their last day worked.  The additional pay will appear in their final paycheck.</w:t>
      </w:r>
    </w:p>
    <w:p w:rsidR="00757A9A" w:rsidRDefault="00757A9A" w:rsidP="00757A9A"/>
    <w:p w:rsidR="00757A9A" w:rsidRDefault="00757A9A" w:rsidP="00CF1EFB">
      <w:pPr>
        <w:ind w:firstLine="720"/>
      </w:pPr>
      <w:r>
        <w:rPr>
          <w:szCs w:val="24"/>
        </w:rPr>
        <w:t xml:space="preserve">Paid leave time is never considered work time when calculating overtime.  </w:t>
      </w:r>
    </w:p>
    <w:p w:rsidR="00FB5214" w:rsidRDefault="00FB5214" w:rsidP="006721EF">
      <w:pPr>
        <w:pStyle w:val="Heading2"/>
      </w:pPr>
    </w:p>
    <w:p w:rsidR="003B2C0C" w:rsidRPr="0031211B" w:rsidRDefault="00361CBE" w:rsidP="006721EF">
      <w:pPr>
        <w:pStyle w:val="Heading2"/>
      </w:pPr>
      <w:r>
        <w:t>D</w:t>
      </w:r>
      <w:r w:rsidR="003B2C0C" w:rsidRPr="0031211B">
        <w:t>OCUMENTATION OF HOURS</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A non-exempt</w:t>
      </w:r>
      <w:r w:rsidR="00BE08BB">
        <w:rPr>
          <w:szCs w:val="24"/>
        </w:rPr>
        <w:t xml:space="preserve"> (hourly)</w:t>
      </w:r>
      <w:r w:rsidRPr="0031211B">
        <w:rPr>
          <w:szCs w:val="24"/>
        </w:rPr>
        <w:t xml:space="preserve"> employee must </w:t>
      </w:r>
      <w:r w:rsidR="00625434">
        <w:rPr>
          <w:szCs w:val="24"/>
        </w:rPr>
        <w:t>complete and submit</w:t>
      </w:r>
      <w:r w:rsidRPr="0031211B">
        <w:rPr>
          <w:szCs w:val="24"/>
        </w:rPr>
        <w:t xml:space="preserve"> time sheets to document hours worked.  Overtime for a non-exempt employee must be approved in adva</w:t>
      </w:r>
      <w:r w:rsidR="00E04E00">
        <w:rPr>
          <w:szCs w:val="24"/>
        </w:rPr>
        <w:t>nce by the supervisor</w:t>
      </w:r>
      <w:r w:rsidR="00BE08BB">
        <w:rPr>
          <w:szCs w:val="24"/>
        </w:rPr>
        <w:t>.  All employees, including</w:t>
      </w:r>
      <w:r w:rsidRPr="0031211B">
        <w:rPr>
          <w:szCs w:val="24"/>
        </w:rPr>
        <w:t xml:space="preserve"> exempt employee</w:t>
      </w:r>
      <w:r w:rsidR="00BE08BB">
        <w:rPr>
          <w:szCs w:val="24"/>
        </w:rPr>
        <w:t>s are</w:t>
      </w:r>
      <w:r w:rsidRPr="0031211B">
        <w:rPr>
          <w:szCs w:val="24"/>
        </w:rPr>
        <w:t xml:space="preserve"> r</w:t>
      </w:r>
      <w:r w:rsidR="006721EF">
        <w:rPr>
          <w:szCs w:val="24"/>
        </w:rPr>
        <w:t>equir</w:t>
      </w:r>
      <w:r w:rsidR="0032448F">
        <w:rPr>
          <w:szCs w:val="24"/>
        </w:rPr>
        <w:t>ed to report vacation</w:t>
      </w:r>
      <w:r w:rsidR="006721EF">
        <w:rPr>
          <w:szCs w:val="24"/>
        </w:rPr>
        <w:t xml:space="preserve"> and sick leave.  </w:t>
      </w:r>
      <w:r w:rsidR="0032448F">
        <w:rPr>
          <w:szCs w:val="24"/>
        </w:rPr>
        <w:t xml:space="preserve">Vacation and sick hours are never allowed to be used to increase an employee’s hours beyond their normally scheduled hours in a pay week.  </w:t>
      </w:r>
    </w:p>
    <w:p w:rsidR="008642BA" w:rsidRPr="0031211B" w:rsidRDefault="008642BA" w:rsidP="008E3169">
      <w:pPr>
        <w:widowControl w:val="0"/>
        <w:jc w:val="both"/>
        <w:rPr>
          <w:szCs w:val="24"/>
        </w:rPr>
      </w:pPr>
    </w:p>
    <w:p w:rsidR="00BE08BB" w:rsidRPr="0031211B" w:rsidRDefault="00BE08BB" w:rsidP="008E3169">
      <w:pPr>
        <w:widowControl w:val="0"/>
        <w:jc w:val="both"/>
        <w:rPr>
          <w:szCs w:val="24"/>
        </w:rPr>
      </w:pPr>
    </w:p>
    <w:p w:rsidR="003B2C0C" w:rsidRPr="0031211B" w:rsidRDefault="003B2C0C" w:rsidP="006721EF">
      <w:pPr>
        <w:pStyle w:val="Heading2"/>
      </w:pPr>
      <w:r w:rsidRPr="0031211B">
        <w:t>UNPAID LEAVE OF ABSENCE</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An employee may receive an unpaid leave of</w:t>
      </w:r>
      <w:r w:rsidR="00BE08BB">
        <w:rPr>
          <w:szCs w:val="24"/>
        </w:rPr>
        <w:t xml:space="preserve"> absence after having received approval by the pastor. </w:t>
      </w:r>
      <w:r w:rsidRPr="0031211B">
        <w:rPr>
          <w:szCs w:val="24"/>
        </w:rPr>
        <w:t xml:space="preserve"> </w:t>
      </w:r>
      <w:r w:rsidR="003447D9">
        <w:rPr>
          <w:szCs w:val="24"/>
        </w:rPr>
        <w:t>The employer paid portion of i</w:t>
      </w:r>
      <w:r w:rsidRPr="0031211B">
        <w:rPr>
          <w:szCs w:val="24"/>
        </w:rPr>
        <w:t>nsurance benefits (medical, dental, group life, disability) will be provided by the employer for a period not to exceed ninety days</w:t>
      </w:r>
      <w:r w:rsidR="00822E5A">
        <w:rPr>
          <w:szCs w:val="24"/>
        </w:rPr>
        <w:t xml:space="preserve"> when the unpaid leave is covered by FMLA</w:t>
      </w:r>
      <w:r w:rsidRPr="0031211B">
        <w:rPr>
          <w:szCs w:val="24"/>
        </w:rPr>
        <w:t>.</w:t>
      </w:r>
      <w:r w:rsidR="00E04E00">
        <w:rPr>
          <w:szCs w:val="24"/>
        </w:rPr>
        <w:t xml:space="preserve">  The employee is responsible for his/her portion of the benefits. </w:t>
      </w:r>
    </w:p>
    <w:p w:rsidR="003B2C0C" w:rsidRPr="0031211B" w:rsidRDefault="003B2C0C" w:rsidP="008E3169">
      <w:pPr>
        <w:widowControl w:val="0"/>
        <w:jc w:val="both"/>
        <w:rPr>
          <w:szCs w:val="24"/>
        </w:rPr>
      </w:pPr>
    </w:p>
    <w:p w:rsidR="003B2C0C" w:rsidRDefault="003B2C0C" w:rsidP="006721EF">
      <w:pPr>
        <w:pStyle w:val="Heading2"/>
      </w:pPr>
      <w:r w:rsidRPr="0031211B">
        <w:t>HOLIDAYS / HOLY DAYS</w:t>
      </w:r>
    </w:p>
    <w:p w:rsidR="006721EF" w:rsidRPr="006721EF" w:rsidRDefault="006721EF" w:rsidP="006721EF"/>
    <w:p w:rsidR="003B2C0C" w:rsidRPr="0031211B" w:rsidRDefault="003B2C0C" w:rsidP="008E3169">
      <w:pPr>
        <w:widowControl w:val="0"/>
        <w:jc w:val="both"/>
        <w:rPr>
          <w:szCs w:val="24"/>
        </w:rPr>
      </w:pPr>
      <w:r w:rsidRPr="0031211B">
        <w:rPr>
          <w:szCs w:val="24"/>
        </w:rPr>
        <w:tab/>
        <w:t xml:space="preserve">An employee working </w:t>
      </w:r>
      <w:r w:rsidR="00822E5A">
        <w:rPr>
          <w:szCs w:val="24"/>
        </w:rPr>
        <w:t>30 or more hours per week</w:t>
      </w:r>
      <w:r w:rsidRPr="0031211B">
        <w:rPr>
          <w:szCs w:val="24"/>
        </w:rPr>
        <w:t xml:space="preserve"> is eligible to be paid for the holidays and holy days listed below.  An employee working 20 or more hours per week </w:t>
      </w:r>
      <w:r w:rsidR="00E04E00">
        <w:rPr>
          <w:szCs w:val="24"/>
        </w:rPr>
        <w:t xml:space="preserve">but less than full time </w:t>
      </w:r>
      <w:r w:rsidRPr="0031211B">
        <w:rPr>
          <w:szCs w:val="24"/>
        </w:rPr>
        <w:t>is eligible to be paid for the holidays and holy days listed below, on a</w:t>
      </w:r>
      <w:r w:rsidR="003447D9">
        <w:rPr>
          <w:szCs w:val="24"/>
        </w:rPr>
        <w:t xml:space="preserve"> pro-rata basis, relevant to the employee’s normal work schedule</w:t>
      </w:r>
      <w:r w:rsidR="00CC20B9">
        <w:rPr>
          <w:szCs w:val="24"/>
        </w:rPr>
        <w:t xml:space="preserve"> on scheduled holy days/holidays</w:t>
      </w:r>
      <w:r w:rsidR="003447D9">
        <w:rPr>
          <w:szCs w:val="24"/>
        </w:rPr>
        <w:t>.  To receive this</w:t>
      </w:r>
      <w:r w:rsidRPr="0031211B">
        <w:rPr>
          <w:szCs w:val="24"/>
        </w:rPr>
        <w:t xml:space="preserve"> pay, an employee must work the regularly scheduled work days immediately before and after the holiday or holy day, or be on</w:t>
      </w:r>
      <w:r w:rsidR="003447D9">
        <w:rPr>
          <w:szCs w:val="24"/>
        </w:rPr>
        <w:t xml:space="preserve"> a</w:t>
      </w:r>
      <w:r w:rsidRPr="0031211B">
        <w:rPr>
          <w:szCs w:val="24"/>
        </w:rPr>
        <w:t xml:space="preserve"> paid</w:t>
      </w:r>
      <w:r w:rsidR="003447D9">
        <w:rPr>
          <w:szCs w:val="24"/>
        </w:rPr>
        <w:t xml:space="preserve"> sick or vacation</w:t>
      </w:r>
      <w:r w:rsidRPr="0031211B">
        <w:rPr>
          <w:szCs w:val="24"/>
        </w:rPr>
        <w:t xml:space="preserve"> leave.  An employee on an unpaid leave</w:t>
      </w:r>
      <w:r w:rsidR="00822E5A">
        <w:rPr>
          <w:szCs w:val="24"/>
        </w:rPr>
        <w:t>, on disability or worker’s compensation leave,</w:t>
      </w:r>
      <w:r w:rsidRPr="0031211B">
        <w:rPr>
          <w:szCs w:val="24"/>
        </w:rPr>
        <w:t xml:space="preserve"> or in an unpaid status is not eligible to be paid for the holidays and holy days.</w:t>
      </w:r>
      <w:r w:rsidR="003447D9">
        <w:rPr>
          <w:szCs w:val="24"/>
        </w:rPr>
        <w:t xml:space="preserve">  </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The following paid holidays and holy days are observed:</w:t>
      </w:r>
    </w:p>
    <w:p w:rsidR="003B2C0C" w:rsidRPr="00CC20B9" w:rsidRDefault="00437CD1" w:rsidP="008E3169">
      <w:pPr>
        <w:widowControl w:val="0"/>
        <w:jc w:val="both"/>
        <w:rPr>
          <w:szCs w:val="24"/>
          <w:highlight w:val="yellow"/>
        </w:rPr>
      </w:pPr>
      <w:r>
        <w:rPr>
          <w:szCs w:val="24"/>
        </w:rPr>
        <w:tab/>
      </w:r>
      <w:r>
        <w:rPr>
          <w:szCs w:val="24"/>
        </w:rPr>
        <w:tab/>
      </w:r>
      <w:r w:rsidRPr="00CC20B9">
        <w:rPr>
          <w:szCs w:val="24"/>
          <w:highlight w:val="yellow"/>
        </w:rPr>
        <w:t xml:space="preserve">(List your paid holidays)  Example: </w:t>
      </w:r>
    </w:p>
    <w:p w:rsidR="003B2C0C" w:rsidRPr="00CC20B9" w:rsidRDefault="003B2C0C" w:rsidP="008E3169">
      <w:pPr>
        <w:widowControl w:val="0"/>
        <w:ind w:left="1440" w:right="720"/>
        <w:jc w:val="both"/>
        <w:rPr>
          <w:szCs w:val="24"/>
          <w:highlight w:val="yellow"/>
        </w:rPr>
      </w:pPr>
      <w:r w:rsidRPr="00CC20B9">
        <w:rPr>
          <w:szCs w:val="24"/>
          <w:highlight w:val="yellow"/>
        </w:rPr>
        <w:t>Good Friday</w:t>
      </w:r>
    </w:p>
    <w:p w:rsidR="003B2C0C" w:rsidRPr="00CC20B9" w:rsidRDefault="003B2C0C" w:rsidP="008E3169">
      <w:pPr>
        <w:widowControl w:val="0"/>
        <w:ind w:left="720" w:right="720"/>
        <w:jc w:val="both"/>
        <w:rPr>
          <w:szCs w:val="24"/>
          <w:highlight w:val="yellow"/>
        </w:rPr>
      </w:pPr>
      <w:r w:rsidRPr="00CC20B9">
        <w:rPr>
          <w:szCs w:val="24"/>
          <w:highlight w:val="yellow"/>
        </w:rPr>
        <w:tab/>
        <w:t>Easter Monday</w:t>
      </w:r>
    </w:p>
    <w:p w:rsidR="003B2C0C" w:rsidRPr="00CC20B9" w:rsidRDefault="003B2C0C" w:rsidP="008E3169">
      <w:pPr>
        <w:widowControl w:val="0"/>
        <w:ind w:left="720" w:right="720"/>
        <w:jc w:val="both"/>
        <w:rPr>
          <w:szCs w:val="24"/>
          <w:highlight w:val="yellow"/>
        </w:rPr>
      </w:pPr>
      <w:r w:rsidRPr="00CC20B9">
        <w:rPr>
          <w:szCs w:val="24"/>
          <w:highlight w:val="yellow"/>
        </w:rPr>
        <w:tab/>
        <w:t>Memorial Day</w:t>
      </w:r>
    </w:p>
    <w:p w:rsidR="003B2C0C" w:rsidRPr="00CC20B9" w:rsidRDefault="003B2C0C" w:rsidP="008E3169">
      <w:pPr>
        <w:widowControl w:val="0"/>
        <w:ind w:left="720" w:right="720"/>
        <w:jc w:val="both"/>
        <w:rPr>
          <w:szCs w:val="24"/>
          <w:highlight w:val="yellow"/>
        </w:rPr>
      </w:pPr>
      <w:r w:rsidRPr="00CC20B9">
        <w:rPr>
          <w:szCs w:val="24"/>
          <w:highlight w:val="yellow"/>
        </w:rPr>
        <w:tab/>
        <w:t>Independence Day</w:t>
      </w:r>
    </w:p>
    <w:p w:rsidR="003B2C0C" w:rsidRPr="00CC20B9" w:rsidRDefault="003B2C0C" w:rsidP="008E3169">
      <w:pPr>
        <w:widowControl w:val="0"/>
        <w:ind w:left="720" w:right="720"/>
        <w:jc w:val="both"/>
        <w:rPr>
          <w:szCs w:val="24"/>
          <w:highlight w:val="yellow"/>
        </w:rPr>
      </w:pPr>
      <w:r w:rsidRPr="00CC20B9">
        <w:rPr>
          <w:szCs w:val="24"/>
          <w:highlight w:val="yellow"/>
        </w:rPr>
        <w:tab/>
        <w:t>Labor Day</w:t>
      </w:r>
    </w:p>
    <w:p w:rsidR="003B2C0C" w:rsidRPr="00CC20B9" w:rsidRDefault="003B2C0C" w:rsidP="008E3169">
      <w:pPr>
        <w:widowControl w:val="0"/>
        <w:ind w:left="720" w:right="720"/>
        <w:jc w:val="both"/>
        <w:rPr>
          <w:szCs w:val="24"/>
          <w:highlight w:val="yellow"/>
        </w:rPr>
      </w:pPr>
      <w:r w:rsidRPr="00CC20B9">
        <w:rPr>
          <w:szCs w:val="24"/>
          <w:highlight w:val="yellow"/>
        </w:rPr>
        <w:tab/>
        <w:t>Thanksgiving and the Friday after Thanksgiving</w:t>
      </w:r>
    </w:p>
    <w:p w:rsidR="003447D9" w:rsidRPr="00CC20B9" w:rsidRDefault="003B2C0C" w:rsidP="008E3169">
      <w:pPr>
        <w:widowControl w:val="0"/>
        <w:ind w:left="720" w:right="720"/>
        <w:jc w:val="both"/>
        <w:rPr>
          <w:szCs w:val="24"/>
          <w:highlight w:val="yellow"/>
        </w:rPr>
      </w:pPr>
      <w:r w:rsidRPr="00CC20B9">
        <w:rPr>
          <w:szCs w:val="24"/>
          <w:highlight w:val="yellow"/>
        </w:rPr>
        <w:tab/>
        <w:t>Christmas Eve</w:t>
      </w:r>
      <w:r w:rsidR="003447D9" w:rsidRPr="00CC20B9">
        <w:rPr>
          <w:szCs w:val="24"/>
          <w:highlight w:val="yellow"/>
        </w:rPr>
        <w:t xml:space="preserve"> and Christmas Day</w:t>
      </w:r>
    </w:p>
    <w:p w:rsidR="003B2C0C" w:rsidRPr="00CC20B9" w:rsidRDefault="003447D9" w:rsidP="003447D9">
      <w:pPr>
        <w:widowControl w:val="0"/>
        <w:ind w:left="720" w:right="720" w:firstLine="720"/>
        <w:jc w:val="both"/>
        <w:rPr>
          <w:szCs w:val="24"/>
          <w:highlight w:val="yellow"/>
        </w:rPr>
      </w:pPr>
      <w:r w:rsidRPr="00CC20B9">
        <w:rPr>
          <w:szCs w:val="24"/>
          <w:highlight w:val="yellow"/>
        </w:rPr>
        <w:t xml:space="preserve">New Year’s Eve and </w:t>
      </w:r>
      <w:r w:rsidR="003B2C0C" w:rsidRPr="00CC20B9">
        <w:rPr>
          <w:szCs w:val="24"/>
          <w:highlight w:val="yellow"/>
        </w:rPr>
        <w:t>New Year’s Day</w:t>
      </w:r>
    </w:p>
    <w:p w:rsidR="00437CD1" w:rsidRPr="0031211B" w:rsidRDefault="00437CD1" w:rsidP="00437CD1">
      <w:pPr>
        <w:widowControl w:val="0"/>
        <w:ind w:left="1440" w:right="720"/>
        <w:jc w:val="both"/>
        <w:rPr>
          <w:szCs w:val="24"/>
        </w:rPr>
      </w:pPr>
      <w:r w:rsidRPr="00CC20B9">
        <w:rPr>
          <w:szCs w:val="24"/>
          <w:highlight w:val="yellow"/>
        </w:rPr>
        <w:t>(Some parishes include Assumption, All Saints, and Immaculate Conception as paid holidays when they occur on work days during the year.)</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 xml:space="preserve">When </w:t>
      </w:r>
      <w:r w:rsidR="003447D9">
        <w:rPr>
          <w:szCs w:val="24"/>
        </w:rPr>
        <w:t>a holiday</w:t>
      </w:r>
      <w:r w:rsidRPr="0031211B">
        <w:rPr>
          <w:szCs w:val="24"/>
        </w:rPr>
        <w:t xml:space="preserve"> falls on a Saturday or a Sunday, a paid holiday will be observed on the adjacent Friday or Monday.  </w:t>
      </w:r>
    </w:p>
    <w:p w:rsidR="003B2C0C" w:rsidRPr="0031211B" w:rsidRDefault="003B2C0C" w:rsidP="008E3169">
      <w:pPr>
        <w:widowControl w:val="0"/>
        <w:jc w:val="both"/>
        <w:rPr>
          <w:szCs w:val="24"/>
        </w:rPr>
      </w:pPr>
    </w:p>
    <w:p w:rsidR="003B2C0C" w:rsidRDefault="003B2C0C" w:rsidP="008E3169">
      <w:pPr>
        <w:widowControl w:val="0"/>
        <w:jc w:val="both"/>
        <w:rPr>
          <w:szCs w:val="24"/>
        </w:rPr>
      </w:pPr>
      <w:r w:rsidRPr="0031211B">
        <w:rPr>
          <w:szCs w:val="24"/>
        </w:rPr>
        <w:tab/>
        <w:t>A non-exempt em</w:t>
      </w:r>
      <w:r w:rsidR="00B25D19" w:rsidRPr="0031211B">
        <w:rPr>
          <w:szCs w:val="24"/>
        </w:rPr>
        <w:t>ployee who is required to work o</w:t>
      </w:r>
      <w:r w:rsidRPr="0031211B">
        <w:rPr>
          <w:szCs w:val="24"/>
        </w:rPr>
        <w:t>n one of the above holidays or holy days will receive</w:t>
      </w:r>
      <w:r w:rsidR="00822E5A">
        <w:rPr>
          <w:szCs w:val="24"/>
        </w:rPr>
        <w:t xml:space="preserve"> holiday</w:t>
      </w:r>
      <w:r w:rsidR="00926DAA" w:rsidRPr="0031211B">
        <w:rPr>
          <w:szCs w:val="24"/>
        </w:rPr>
        <w:t xml:space="preserve"> pay at the rate of 1.5</w:t>
      </w:r>
      <w:r w:rsidRPr="0031211B">
        <w:rPr>
          <w:szCs w:val="24"/>
        </w:rPr>
        <w:t xml:space="preserve"> times the normal hourly rate for the hours worked, with a minimum pay of four hours</w:t>
      </w:r>
      <w:r w:rsidR="00822E5A">
        <w:rPr>
          <w:szCs w:val="24"/>
        </w:rPr>
        <w:t>, regardless of whether they worked over 40 hours in the work week</w:t>
      </w:r>
      <w:r w:rsidRPr="0031211B">
        <w:rPr>
          <w:szCs w:val="24"/>
        </w:rPr>
        <w:t>.</w:t>
      </w:r>
    </w:p>
    <w:p w:rsidR="00091F07" w:rsidRPr="0031211B" w:rsidRDefault="00091F07" w:rsidP="008E3169">
      <w:pPr>
        <w:widowControl w:val="0"/>
        <w:jc w:val="both"/>
        <w:rPr>
          <w:szCs w:val="24"/>
        </w:rPr>
      </w:pPr>
    </w:p>
    <w:p w:rsidR="003B2C0C" w:rsidRPr="0031211B" w:rsidRDefault="003B2C0C" w:rsidP="006721EF">
      <w:pPr>
        <w:pStyle w:val="Heading2"/>
      </w:pPr>
      <w:r w:rsidRPr="0031211B">
        <w:t>SNOW / WEATHER DAYS — NON-EXEMPT EMPLOYEES</w:t>
      </w:r>
    </w:p>
    <w:p w:rsidR="003B2C0C" w:rsidRPr="0031211B" w:rsidRDefault="003B2C0C" w:rsidP="008E3169">
      <w:pPr>
        <w:widowControl w:val="0"/>
        <w:jc w:val="both"/>
        <w:rPr>
          <w:szCs w:val="24"/>
        </w:rPr>
      </w:pPr>
    </w:p>
    <w:p w:rsidR="003B2C0C" w:rsidRPr="003447D9" w:rsidRDefault="003B2C0C" w:rsidP="003447D9">
      <w:pPr>
        <w:widowControl w:val="0"/>
        <w:jc w:val="both"/>
        <w:rPr>
          <w:szCs w:val="24"/>
        </w:rPr>
      </w:pPr>
      <w:r w:rsidRPr="0031211B">
        <w:rPr>
          <w:szCs w:val="24"/>
        </w:rPr>
        <w:tab/>
      </w:r>
      <w:r w:rsidR="003447D9">
        <w:rPr>
          <w:szCs w:val="24"/>
        </w:rPr>
        <w:t>The entir</w:t>
      </w:r>
      <w:r w:rsidR="00CC20B9">
        <w:rPr>
          <w:szCs w:val="24"/>
        </w:rPr>
        <w:t>e workplace of the parish</w:t>
      </w:r>
      <w:r w:rsidR="003447D9">
        <w:rPr>
          <w:szCs w:val="24"/>
        </w:rPr>
        <w:t xml:space="preserve"> will be open on normal business days. </w:t>
      </w:r>
      <w:r w:rsidR="00CC20B9">
        <w:rPr>
          <w:szCs w:val="24"/>
        </w:rPr>
        <w:t xml:space="preserve">The pastor may declare the closure of the parish due to inclement weather.  When this occurs hourly employees are not to report to work and are not paid unless a vacation day is used. </w:t>
      </w:r>
      <w:r w:rsidR="003447D9">
        <w:rPr>
          <w:szCs w:val="24"/>
        </w:rPr>
        <w:t xml:space="preserve">   </w:t>
      </w:r>
      <w:r w:rsidR="00CC20B9">
        <w:rPr>
          <w:szCs w:val="24"/>
        </w:rPr>
        <w:t xml:space="preserve">On bad weather days that the parish is open and an employee chooses not to come to work, the employee may use a vacation day or take the day as unpaid.   </w:t>
      </w:r>
    </w:p>
    <w:p w:rsidR="00453BE0" w:rsidRPr="0031211B" w:rsidRDefault="00453BE0" w:rsidP="008E3169">
      <w:pPr>
        <w:widowControl w:val="0"/>
        <w:jc w:val="both"/>
        <w:rPr>
          <w:szCs w:val="24"/>
        </w:rPr>
      </w:pPr>
    </w:p>
    <w:p w:rsidR="007C79B7" w:rsidRPr="0019402D" w:rsidRDefault="006721EF" w:rsidP="006721EF">
      <w:pPr>
        <w:pStyle w:val="Heading2"/>
      </w:pPr>
      <w:r>
        <w:t>TRAVEL EXPENSES</w:t>
      </w:r>
    </w:p>
    <w:p w:rsidR="007C79B7" w:rsidRPr="00D87138" w:rsidRDefault="007C79B7" w:rsidP="007C79B7">
      <w:pPr>
        <w:widowControl w:val="0"/>
        <w:jc w:val="both"/>
        <w:rPr>
          <w:sz w:val="26"/>
        </w:rPr>
      </w:pPr>
    </w:p>
    <w:p w:rsidR="00B524F8" w:rsidRPr="0019402D" w:rsidRDefault="007C79B7" w:rsidP="00B524F8">
      <w:pPr>
        <w:widowControl w:val="0"/>
        <w:jc w:val="both"/>
        <w:rPr>
          <w:color w:val="FF0000"/>
          <w:szCs w:val="24"/>
        </w:rPr>
      </w:pPr>
      <w:r w:rsidRPr="00D87138">
        <w:rPr>
          <w:sz w:val="26"/>
        </w:rPr>
        <w:tab/>
      </w:r>
      <w:r w:rsidRPr="0019402D">
        <w:rPr>
          <w:szCs w:val="24"/>
        </w:rPr>
        <w:t xml:space="preserve">Employees who use their own vehicles and travel on behalf of the </w:t>
      </w:r>
      <w:r w:rsidR="00CC20B9">
        <w:rPr>
          <w:szCs w:val="24"/>
        </w:rPr>
        <w:t>parish</w:t>
      </w:r>
      <w:r w:rsidR="0038421D" w:rsidRPr="0019402D">
        <w:rPr>
          <w:szCs w:val="24"/>
        </w:rPr>
        <w:t xml:space="preserve"> for business purposes</w:t>
      </w:r>
      <w:r w:rsidRPr="0019402D">
        <w:rPr>
          <w:szCs w:val="24"/>
        </w:rPr>
        <w:t xml:space="preserve"> will be reimbursed at the IRS standard rate for mileage.  </w:t>
      </w:r>
      <w:r w:rsidR="0038421D" w:rsidRPr="0019402D">
        <w:rPr>
          <w:szCs w:val="24"/>
        </w:rPr>
        <w:t>Reasonable m</w:t>
      </w:r>
      <w:r w:rsidRPr="0019402D">
        <w:rPr>
          <w:szCs w:val="24"/>
        </w:rPr>
        <w:t>eal expenses will be reimbursed when a) an employee is at</w:t>
      </w:r>
      <w:r w:rsidR="00A030FB" w:rsidRPr="0019402D">
        <w:rPr>
          <w:szCs w:val="24"/>
        </w:rPr>
        <w:t>tending a</w:t>
      </w:r>
      <w:r w:rsidR="00E04E00">
        <w:rPr>
          <w:szCs w:val="24"/>
        </w:rPr>
        <w:t xml:space="preserve"> required</w:t>
      </w:r>
      <w:r w:rsidR="00A030FB" w:rsidRPr="0019402D">
        <w:rPr>
          <w:szCs w:val="24"/>
        </w:rPr>
        <w:t xml:space="preserve"> conference</w:t>
      </w:r>
      <w:r w:rsidR="00E04E00">
        <w:rPr>
          <w:szCs w:val="24"/>
        </w:rPr>
        <w:t xml:space="preserve"> inside or</w:t>
      </w:r>
      <w:r w:rsidR="00A030FB" w:rsidRPr="0019402D">
        <w:rPr>
          <w:szCs w:val="24"/>
        </w:rPr>
        <w:t xml:space="preserve"> outside the diocese</w:t>
      </w:r>
      <w:r w:rsidRPr="0019402D">
        <w:rPr>
          <w:szCs w:val="24"/>
        </w:rPr>
        <w:t>, or b) when the employee engages in business d</w:t>
      </w:r>
      <w:r w:rsidR="006721EF">
        <w:rPr>
          <w:szCs w:val="24"/>
        </w:rPr>
        <w:t xml:space="preserve">uring the course of a meal.  </w:t>
      </w:r>
      <w:r w:rsidRPr="0019402D">
        <w:rPr>
          <w:szCs w:val="24"/>
        </w:rPr>
        <w:t xml:space="preserve">Employees will not be reimbursed for meal expenses that occur during the normal course of business travel throughout the Diocese. </w:t>
      </w:r>
    </w:p>
    <w:p w:rsidR="00B524F8" w:rsidRPr="0067693F" w:rsidRDefault="00B524F8" w:rsidP="00B524F8">
      <w:pPr>
        <w:widowControl w:val="0"/>
        <w:jc w:val="both"/>
        <w:rPr>
          <w:color w:val="FF0000"/>
          <w:sz w:val="26"/>
        </w:rPr>
      </w:pPr>
    </w:p>
    <w:p w:rsidR="003B2C0C" w:rsidRPr="0031211B" w:rsidRDefault="003B2C0C" w:rsidP="006721EF">
      <w:pPr>
        <w:pStyle w:val="Heading2"/>
      </w:pPr>
      <w:r w:rsidRPr="0031211B">
        <w:t>MINISTRY DESCRIPTIONS / JOB DESCRIPTIONS / CONDITIONAL HIRE</w:t>
      </w:r>
    </w:p>
    <w:p w:rsidR="003B2C0C" w:rsidRPr="0031211B" w:rsidRDefault="003B2C0C" w:rsidP="008E3169">
      <w:pPr>
        <w:widowControl w:val="0"/>
        <w:jc w:val="both"/>
        <w:rPr>
          <w:szCs w:val="24"/>
        </w:rPr>
      </w:pPr>
    </w:p>
    <w:p w:rsidR="003B2C0C" w:rsidRDefault="003B2C0C" w:rsidP="008E3169">
      <w:pPr>
        <w:widowControl w:val="0"/>
        <w:jc w:val="both"/>
        <w:rPr>
          <w:szCs w:val="24"/>
        </w:rPr>
      </w:pPr>
      <w:r w:rsidRPr="0031211B">
        <w:rPr>
          <w:szCs w:val="24"/>
        </w:rPr>
        <w:tab/>
        <w:t xml:space="preserve">For each position, the </w:t>
      </w:r>
      <w:r w:rsidR="006721EF">
        <w:rPr>
          <w:szCs w:val="24"/>
        </w:rPr>
        <w:t>parish</w:t>
      </w:r>
      <w:r w:rsidRPr="0031211B">
        <w:rPr>
          <w:szCs w:val="24"/>
        </w:rPr>
        <w:t xml:space="preserve"> must maintain a current ministry description / job description that includes the job title, the exempt / non-exempt status, the supervisor of the position, the location an</w:t>
      </w:r>
      <w:r w:rsidR="00CC20B9">
        <w:rPr>
          <w:szCs w:val="24"/>
        </w:rPr>
        <w:t>d hours of the job, the primary</w:t>
      </w:r>
      <w:r w:rsidRPr="0031211B">
        <w:rPr>
          <w:szCs w:val="24"/>
        </w:rPr>
        <w:t xml:space="preserve"> duties and responsibilities of the person holding the position, and the qualifications (education, experience, formation, knowledge, skills, abilities, credentials</w:t>
      </w:r>
      <w:r w:rsidR="00C62329">
        <w:rPr>
          <w:szCs w:val="24"/>
        </w:rPr>
        <w:t>, physical requirement</w:t>
      </w:r>
      <w:r w:rsidRPr="0031211B">
        <w:rPr>
          <w:szCs w:val="24"/>
        </w:rPr>
        <w:t xml:space="preserve">) that a person must possess to be hired.  </w:t>
      </w:r>
    </w:p>
    <w:p w:rsidR="00453BE0" w:rsidRPr="0031211B" w:rsidRDefault="00453BE0" w:rsidP="008E3169">
      <w:pPr>
        <w:widowControl w:val="0"/>
        <w:jc w:val="both"/>
        <w:rPr>
          <w:szCs w:val="24"/>
        </w:rPr>
      </w:pPr>
    </w:p>
    <w:p w:rsidR="003B2C0C" w:rsidRPr="0031211B" w:rsidRDefault="003B2C0C" w:rsidP="006721EF">
      <w:pPr>
        <w:pStyle w:val="Heading2"/>
      </w:pPr>
      <w:r w:rsidRPr="0031211B">
        <w:t>PROFESSIONAL DEVELOPMENT</w:t>
      </w:r>
    </w:p>
    <w:p w:rsidR="003B2C0C" w:rsidRPr="0031211B" w:rsidRDefault="003B2C0C" w:rsidP="008E3169">
      <w:pPr>
        <w:widowControl w:val="0"/>
        <w:jc w:val="both"/>
        <w:rPr>
          <w:szCs w:val="24"/>
        </w:rPr>
      </w:pPr>
    </w:p>
    <w:p w:rsidR="003B2C0C" w:rsidRPr="0031211B" w:rsidRDefault="003B2C0C" w:rsidP="008E3169">
      <w:pPr>
        <w:widowControl w:val="0"/>
        <w:jc w:val="both"/>
        <w:rPr>
          <w:szCs w:val="24"/>
        </w:rPr>
      </w:pPr>
      <w:r w:rsidRPr="0031211B">
        <w:rPr>
          <w:szCs w:val="24"/>
        </w:rPr>
        <w:tab/>
        <w:t xml:space="preserve">The </w:t>
      </w:r>
      <w:r w:rsidR="006721EF">
        <w:rPr>
          <w:szCs w:val="24"/>
        </w:rPr>
        <w:t>parish</w:t>
      </w:r>
      <w:r w:rsidRPr="0031211B">
        <w:rPr>
          <w:szCs w:val="24"/>
        </w:rPr>
        <w:t xml:space="preserve"> supports and encourages the professional development of its employees.  Expenses related to workshops and seminars will be paid by the </w:t>
      </w:r>
      <w:r w:rsidR="006721EF">
        <w:rPr>
          <w:szCs w:val="24"/>
        </w:rPr>
        <w:t>parish if approved by the pastor within the parish budget.  R</w:t>
      </w:r>
      <w:r w:rsidRPr="0031211B">
        <w:rPr>
          <w:szCs w:val="24"/>
        </w:rPr>
        <w:t>eimbursable expenses include hotel, meals, travel, and registration, provided these expenses are both actual and reasonable</w:t>
      </w:r>
      <w:r w:rsidR="00C33A9F">
        <w:rPr>
          <w:szCs w:val="24"/>
        </w:rPr>
        <w:t xml:space="preserve"> for the employee</w:t>
      </w:r>
      <w:r w:rsidRPr="0031211B">
        <w:rPr>
          <w:szCs w:val="24"/>
        </w:rPr>
        <w:t>.  Expenses for recreation</w:t>
      </w:r>
      <w:r w:rsidR="00C33A9F">
        <w:rPr>
          <w:szCs w:val="24"/>
        </w:rPr>
        <w:t xml:space="preserve"> incurred during a business trip</w:t>
      </w:r>
      <w:r w:rsidRPr="0031211B">
        <w:rPr>
          <w:szCs w:val="24"/>
        </w:rPr>
        <w:t xml:space="preserve"> will not be reimbursed.</w:t>
      </w:r>
    </w:p>
    <w:p w:rsidR="00C62329" w:rsidRPr="00CC20B9" w:rsidRDefault="003B2C0C" w:rsidP="00CC20B9">
      <w:pPr>
        <w:widowControl w:val="0"/>
        <w:jc w:val="both"/>
        <w:rPr>
          <w:color w:val="FF0000"/>
          <w:szCs w:val="24"/>
        </w:rPr>
      </w:pPr>
      <w:r w:rsidRPr="0031211B">
        <w:rPr>
          <w:szCs w:val="24"/>
        </w:rPr>
        <w:tab/>
      </w:r>
    </w:p>
    <w:p w:rsidR="00876ABB" w:rsidRPr="00AB713C" w:rsidRDefault="00876ABB" w:rsidP="00876ABB">
      <w:pPr>
        <w:pStyle w:val="Heading2"/>
        <w:rPr>
          <w:caps/>
        </w:rPr>
      </w:pPr>
      <w:r w:rsidRPr="00AB713C">
        <w:rPr>
          <w:caps/>
        </w:rPr>
        <w:t>Dependent Tuition Reimbursement Benefit Plan</w:t>
      </w:r>
    </w:p>
    <w:p w:rsidR="00876ABB" w:rsidRPr="006621F2" w:rsidRDefault="00876ABB" w:rsidP="00876ABB">
      <w:pPr>
        <w:widowControl w:val="0"/>
        <w:ind w:firstLine="720"/>
        <w:rPr>
          <w:szCs w:val="24"/>
        </w:rPr>
      </w:pPr>
      <w:r w:rsidRPr="006621F2">
        <w:rPr>
          <w:szCs w:val="24"/>
        </w:rPr>
        <w:t>To encourage employe</w:t>
      </w:r>
      <w:r>
        <w:rPr>
          <w:szCs w:val="24"/>
        </w:rPr>
        <w:t>es to send their children to the parish’s Catholic school</w:t>
      </w:r>
      <w:r w:rsidRPr="006621F2">
        <w:rPr>
          <w:szCs w:val="24"/>
        </w:rPr>
        <w:t>, and to assist them with the costs of tuition, employ</w:t>
      </w:r>
      <w:r>
        <w:rPr>
          <w:szCs w:val="24"/>
        </w:rPr>
        <w:t>ees of the parish and school</w:t>
      </w:r>
      <w:r w:rsidRPr="006621F2">
        <w:rPr>
          <w:szCs w:val="24"/>
        </w:rPr>
        <w:t xml:space="preserve"> who work at least 30 hour</w:t>
      </w:r>
      <w:r>
        <w:rPr>
          <w:szCs w:val="24"/>
        </w:rPr>
        <w:t>s</w:t>
      </w:r>
      <w:r w:rsidRPr="006621F2">
        <w:rPr>
          <w:szCs w:val="24"/>
        </w:rPr>
        <w:t xml:space="preserve"> per week may receive </w:t>
      </w:r>
      <w:r w:rsidRPr="00FB5214">
        <w:rPr>
          <w:szCs w:val="24"/>
          <w:highlight w:val="yellow"/>
        </w:rPr>
        <w:t>XX</w:t>
      </w:r>
      <w:r w:rsidRPr="006621F2">
        <w:rPr>
          <w:szCs w:val="24"/>
        </w:rPr>
        <w:t>% tuition reimbursement (after applicable financial aid and discounts are applied) for their child(</w:t>
      </w:r>
      <w:proofErr w:type="spellStart"/>
      <w:r w:rsidRPr="006621F2">
        <w:rPr>
          <w:szCs w:val="24"/>
        </w:rPr>
        <w:t>ren</w:t>
      </w:r>
      <w:proofErr w:type="spellEnd"/>
      <w:r w:rsidRPr="006621F2">
        <w:rPr>
          <w:szCs w:val="24"/>
        </w:rPr>
        <w:t>) enrolled</w:t>
      </w:r>
      <w:r>
        <w:rPr>
          <w:szCs w:val="24"/>
        </w:rPr>
        <w:t>.</w:t>
      </w:r>
      <w:r w:rsidRPr="006621F2">
        <w:rPr>
          <w:szCs w:val="24"/>
        </w:rPr>
        <w:t xml:space="preserve">  The financial assistance is only applicable to tuition expenses and does not apply to additional fees and fundraising requirements. </w:t>
      </w:r>
    </w:p>
    <w:p w:rsidR="00876ABB" w:rsidRPr="006621F2" w:rsidRDefault="00876ABB" w:rsidP="00876ABB">
      <w:pPr>
        <w:widowControl w:val="0"/>
        <w:rPr>
          <w:szCs w:val="24"/>
        </w:rPr>
      </w:pPr>
    </w:p>
    <w:p w:rsidR="00876ABB" w:rsidRPr="006621F2" w:rsidRDefault="00876ABB" w:rsidP="00876ABB">
      <w:pPr>
        <w:widowControl w:val="0"/>
        <w:ind w:firstLine="720"/>
        <w:rPr>
          <w:szCs w:val="24"/>
        </w:rPr>
      </w:pPr>
      <w:r w:rsidRPr="006621F2">
        <w:rPr>
          <w:szCs w:val="24"/>
        </w:rPr>
        <w:t>Employees who participate in this benefit are required to submit their sc</w:t>
      </w:r>
      <w:r>
        <w:rPr>
          <w:szCs w:val="24"/>
        </w:rPr>
        <w:t>hool tuition contract to the parish business</w:t>
      </w:r>
      <w:r w:rsidRPr="006621F2">
        <w:rPr>
          <w:szCs w:val="24"/>
        </w:rPr>
        <w:t xml:space="preserve"> o</w:t>
      </w:r>
      <w:r>
        <w:rPr>
          <w:szCs w:val="24"/>
        </w:rPr>
        <w:t xml:space="preserve">ffice for processing.   The </w:t>
      </w:r>
      <w:r w:rsidRPr="00FB5214">
        <w:rPr>
          <w:szCs w:val="24"/>
          <w:highlight w:val="yellow"/>
        </w:rPr>
        <w:t>XX</w:t>
      </w:r>
      <w:r>
        <w:rPr>
          <w:szCs w:val="24"/>
        </w:rPr>
        <w:t>%</w:t>
      </w:r>
      <w:r w:rsidRPr="006621F2">
        <w:rPr>
          <w:szCs w:val="24"/>
        </w:rPr>
        <w:t xml:space="preserve"> tuition reimbursement will be paid after any eligible financial assistance and discounts have been provided to the employee’s family.   This reimbursement will be processed through payroll.  This fringe benefit is </w:t>
      </w:r>
      <w:r>
        <w:rPr>
          <w:szCs w:val="24"/>
        </w:rPr>
        <w:t>non-taxable f</w:t>
      </w:r>
      <w:r w:rsidRPr="006621F2">
        <w:rPr>
          <w:szCs w:val="24"/>
        </w:rPr>
        <w:t xml:space="preserve">or </w:t>
      </w:r>
      <w:r>
        <w:rPr>
          <w:szCs w:val="24"/>
        </w:rPr>
        <w:t>parish</w:t>
      </w:r>
      <w:r w:rsidRPr="006621F2">
        <w:rPr>
          <w:szCs w:val="24"/>
        </w:rPr>
        <w:t xml:space="preserve"> </w:t>
      </w:r>
      <w:r>
        <w:rPr>
          <w:szCs w:val="24"/>
        </w:rPr>
        <w:t>employees.</w:t>
      </w:r>
    </w:p>
    <w:p w:rsidR="00876ABB" w:rsidRPr="006621F2" w:rsidRDefault="00876ABB" w:rsidP="00876ABB">
      <w:pPr>
        <w:widowControl w:val="0"/>
        <w:rPr>
          <w:szCs w:val="24"/>
        </w:rPr>
      </w:pPr>
    </w:p>
    <w:p w:rsidR="00876ABB" w:rsidRDefault="00876ABB" w:rsidP="00876ABB">
      <w:pPr>
        <w:ind w:firstLine="720"/>
        <w:rPr>
          <w:b/>
        </w:rPr>
      </w:pPr>
      <w:r w:rsidRPr="006621F2">
        <w:lastRenderedPageBreak/>
        <w:t xml:space="preserve">Employees will also need to bring a copy of their cleared check(s), a paid receipt from the school, or proof of enrollment in an automatic payment plan for the school.   Employees will be reimbursed either in a lump sum if they pay the full tuition costs up front or incrementally if they participate in a payment plan with the school.   If an employee’s </w:t>
      </w:r>
      <w:proofErr w:type="gramStart"/>
      <w:r w:rsidRPr="006621F2">
        <w:t>child(</w:t>
      </w:r>
      <w:proofErr w:type="spellStart"/>
      <w:proofErr w:type="gramEnd"/>
      <w:r w:rsidRPr="006621F2">
        <w:t>ren</w:t>
      </w:r>
      <w:proofErr w:type="spellEnd"/>
      <w:r w:rsidRPr="006621F2">
        <w:t>) leave the Catholic school into which they were enrolled during the school year, it is expected that the employee will pay back a pro-rated portion of the tuition reimbursement that was received.</w:t>
      </w:r>
      <w:r w:rsidRPr="006621F2">
        <w:rPr>
          <w:b/>
        </w:rPr>
        <w:t xml:space="preserve"> </w:t>
      </w:r>
    </w:p>
    <w:p w:rsidR="00876ABB" w:rsidRDefault="00876ABB" w:rsidP="00876ABB">
      <w:pPr>
        <w:ind w:firstLine="720"/>
      </w:pPr>
      <w:r w:rsidRPr="006621F2">
        <w:rPr>
          <w:b/>
        </w:rPr>
        <w:t xml:space="preserve"> </w:t>
      </w:r>
    </w:p>
    <w:p w:rsidR="003B2C0C" w:rsidRPr="0031211B" w:rsidRDefault="003B2C0C" w:rsidP="00876ABB">
      <w:pPr>
        <w:pStyle w:val="Heading2"/>
      </w:pPr>
      <w:r w:rsidRPr="0031211B">
        <w:t>SPEAKERS</w:t>
      </w:r>
      <w:r w:rsidR="00237531">
        <w:t xml:space="preserve"> AT PARISH EVENTS</w:t>
      </w:r>
    </w:p>
    <w:p w:rsidR="003B2C0C" w:rsidRPr="0031211B" w:rsidRDefault="003B2C0C" w:rsidP="008E3169">
      <w:pPr>
        <w:widowControl w:val="0"/>
        <w:jc w:val="both"/>
        <w:rPr>
          <w:szCs w:val="24"/>
        </w:rPr>
      </w:pPr>
    </w:p>
    <w:p w:rsidR="003B2C0C" w:rsidRPr="0031211B" w:rsidRDefault="00237531" w:rsidP="008E3169">
      <w:pPr>
        <w:widowControl w:val="0"/>
        <w:jc w:val="both"/>
        <w:rPr>
          <w:szCs w:val="24"/>
        </w:rPr>
      </w:pPr>
      <w:r>
        <w:rPr>
          <w:szCs w:val="24"/>
        </w:rPr>
        <w:tab/>
        <w:t xml:space="preserve">The pastor must approve all speakers prior to them being invited to speak at a parish event.  Please clear all parish events with the pastor before publicizing to parishioners. </w:t>
      </w:r>
      <w:r w:rsidR="00CC20B9">
        <w:rPr>
          <w:szCs w:val="24"/>
        </w:rPr>
        <w:t xml:space="preserve"> Speakers at parish events must demonstrate that they are in good standing by their diocesan bishop before the speaking engagement. </w:t>
      </w:r>
    </w:p>
    <w:p w:rsidR="0031211B" w:rsidRPr="0031211B" w:rsidRDefault="0031211B" w:rsidP="008E3169">
      <w:pPr>
        <w:widowControl w:val="0"/>
        <w:jc w:val="both"/>
        <w:rPr>
          <w:szCs w:val="24"/>
        </w:rPr>
      </w:pPr>
    </w:p>
    <w:p w:rsidR="003B2C0C" w:rsidRPr="0031211B" w:rsidRDefault="003B2C0C" w:rsidP="00237531">
      <w:pPr>
        <w:pStyle w:val="Heading2"/>
      </w:pPr>
      <w:r w:rsidRPr="0031211B">
        <w:t>FIRE HAZARD</w:t>
      </w:r>
    </w:p>
    <w:p w:rsidR="003B2C0C" w:rsidRPr="0031211B" w:rsidRDefault="003B2C0C" w:rsidP="008E3169">
      <w:pPr>
        <w:widowControl w:val="0"/>
        <w:jc w:val="both"/>
        <w:rPr>
          <w:szCs w:val="24"/>
        </w:rPr>
      </w:pPr>
    </w:p>
    <w:p w:rsidR="003B2C0C" w:rsidRPr="0031211B" w:rsidRDefault="003B2C0C" w:rsidP="008E3169">
      <w:pPr>
        <w:widowControl w:val="0"/>
        <w:spacing w:line="0" w:lineRule="atLeast"/>
        <w:jc w:val="both"/>
        <w:rPr>
          <w:szCs w:val="24"/>
        </w:rPr>
      </w:pPr>
      <w:r w:rsidRPr="0031211B">
        <w:rPr>
          <w:szCs w:val="24"/>
        </w:rPr>
        <w:tab/>
        <w:t>Except in connection with a prayer service, candl</w:t>
      </w:r>
      <w:r w:rsidR="00237531">
        <w:rPr>
          <w:szCs w:val="24"/>
        </w:rPr>
        <w:t>es may not be burned in parish</w:t>
      </w:r>
      <w:r w:rsidRPr="0031211B">
        <w:rPr>
          <w:szCs w:val="24"/>
        </w:rPr>
        <w:t xml:space="preserve"> offices.  The reasons are grounded in safety, insurance concerns, and respect for the health and comfort of persons to whom the scent is an irritant.</w:t>
      </w:r>
    </w:p>
    <w:sectPr w:rsidR="003B2C0C" w:rsidRPr="0031211B" w:rsidSect="00621284">
      <w:headerReference w:type="even" r:id="rId7"/>
      <w:headerReference w:type="default" r:id="rId8"/>
      <w:footerReference w:type="even" r:id="rId9"/>
      <w:footerReference w:type="default" r:id="rId10"/>
      <w:pgSz w:w="12240" w:h="15840"/>
      <w:pgMar w:top="720" w:right="720" w:bottom="720" w:left="720" w:header="72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B23" w:rsidRDefault="00980B23">
      <w:r>
        <w:separator/>
      </w:r>
    </w:p>
  </w:endnote>
  <w:endnote w:type="continuationSeparator" w:id="0">
    <w:p w:rsidR="00980B23" w:rsidRDefault="0098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23" w:rsidRDefault="00980B23">
    <w:pPr>
      <w:widowControl w:val="0"/>
      <w:tabs>
        <w:tab w:val="right" w:pos="9362"/>
      </w:tabs>
      <w:jc w:val="both"/>
      <w:rPr>
        <w:sz w:val="20"/>
      </w:rPr>
    </w:pPr>
    <w:r>
      <w:tab/>
    </w:r>
    <w:r>
      <w:rPr>
        <w:sz w:val="20"/>
      </w:rPr>
      <w:t xml:space="preserve">Revised </w:t>
    </w:r>
    <w:r w:rsidR="004D57AE">
      <w:rPr>
        <w:sz w:val="20"/>
      </w:rPr>
      <w:t>July</w:t>
    </w:r>
    <w:r>
      <w:rPr>
        <w:sz w:val="20"/>
      </w:rPr>
      <w:t xml:space="preserv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23" w:rsidRDefault="00980B23">
    <w:pPr>
      <w:widowControl w:val="0"/>
      <w:tabs>
        <w:tab w:val="right" w:pos="9362"/>
      </w:tabs>
      <w:spacing w:line="0" w:lineRule="atLeast"/>
      <w:jc w:val="both"/>
      <w:rPr>
        <w:sz w:val="20"/>
      </w:rPr>
    </w:pPr>
    <w:r>
      <w:tab/>
    </w:r>
    <w:r w:rsidR="001D7AAD">
      <w:rPr>
        <w:sz w:val="20"/>
      </w:rPr>
      <w:t>Revised January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B23" w:rsidRDefault="00980B23">
      <w:r>
        <w:separator/>
      </w:r>
    </w:p>
  </w:footnote>
  <w:footnote w:type="continuationSeparator" w:id="0">
    <w:p w:rsidR="00980B23" w:rsidRDefault="0098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23" w:rsidRDefault="00980B2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23" w:rsidRDefault="00980B23">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4CE6"/>
    <w:multiLevelType w:val="hybridMultilevel"/>
    <w:tmpl w:val="F01AD820"/>
    <w:lvl w:ilvl="0" w:tplc="0D2E0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54DA3"/>
    <w:multiLevelType w:val="hybridMultilevel"/>
    <w:tmpl w:val="53007F12"/>
    <w:lvl w:ilvl="0" w:tplc="0D2E0B12">
      <w:start w:val="1"/>
      <w:numFmt w:val="decimal"/>
      <w:lvlText w:val="%1."/>
      <w:lvlJc w:val="left"/>
      <w:pPr>
        <w:ind w:left="180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9"/>
    <w:rsid w:val="00091F07"/>
    <w:rsid w:val="000B2D37"/>
    <w:rsid w:val="000F6E22"/>
    <w:rsid w:val="00100FF2"/>
    <w:rsid w:val="0014583E"/>
    <w:rsid w:val="0019402D"/>
    <w:rsid w:val="001B42A9"/>
    <w:rsid w:val="001D7AAD"/>
    <w:rsid w:val="00221134"/>
    <w:rsid w:val="00226A89"/>
    <w:rsid w:val="00237531"/>
    <w:rsid w:val="002479C6"/>
    <w:rsid w:val="002A19FA"/>
    <w:rsid w:val="002A2BE1"/>
    <w:rsid w:val="002E033B"/>
    <w:rsid w:val="002E7E89"/>
    <w:rsid w:val="0031211B"/>
    <w:rsid w:val="00313D3F"/>
    <w:rsid w:val="0032448F"/>
    <w:rsid w:val="003447D9"/>
    <w:rsid w:val="00353BFA"/>
    <w:rsid w:val="00361CBE"/>
    <w:rsid w:val="0038421D"/>
    <w:rsid w:val="003B2C0C"/>
    <w:rsid w:val="003C6FDD"/>
    <w:rsid w:val="003E2EA7"/>
    <w:rsid w:val="00437CD1"/>
    <w:rsid w:val="0044485D"/>
    <w:rsid w:val="00453BE0"/>
    <w:rsid w:val="00474241"/>
    <w:rsid w:val="00484E5E"/>
    <w:rsid w:val="004D57AE"/>
    <w:rsid w:val="00511015"/>
    <w:rsid w:val="00537E0A"/>
    <w:rsid w:val="00541028"/>
    <w:rsid w:val="0054526A"/>
    <w:rsid w:val="005510C1"/>
    <w:rsid w:val="0056682D"/>
    <w:rsid w:val="0057044E"/>
    <w:rsid w:val="0059067E"/>
    <w:rsid w:val="005B4D98"/>
    <w:rsid w:val="005D2AD2"/>
    <w:rsid w:val="005D3320"/>
    <w:rsid w:val="005F203B"/>
    <w:rsid w:val="00614F66"/>
    <w:rsid w:val="00616B5C"/>
    <w:rsid w:val="00621284"/>
    <w:rsid w:val="00625434"/>
    <w:rsid w:val="00627013"/>
    <w:rsid w:val="006721EF"/>
    <w:rsid w:val="00680FBB"/>
    <w:rsid w:val="006904B8"/>
    <w:rsid w:val="006C0AF0"/>
    <w:rsid w:val="00730037"/>
    <w:rsid w:val="00736EF2"/>
    <w:rsid w:val="00757A9A"/>
    <w:rsid w:val="0076515B"/>
    <w:rsid w:val="007743A1"/>
    <w:rsid w:val="007C79B7"/>
    <w:rsid w:val="007C7EF7"/>
    <w:rsid w:val="007D6FF2"/>
    <w:rsid w:val="00807136"/>
    <w:rsid w:val="00822E5A"/>
    <w:rsid w:val="00855A18"/>
    <w:rsid w:val="008642BA"/>
    <w:rsid w:val="008655CE"/>
    <w:rsid w:val="00876ABB"/>
    <w:rsid w:val="00885DE7"/>
    <w:rsid w:val="008E3169"/>
    <w:rsid w:val="008E3B4F"/>
    <w:rsid w:val="008E59D9"/>
    <w:rsid w:val="00903A02"/>
    <w:rsid w:val="00926DAA"/>
    <w:rsid w:val="00932B1C"/>
    <w:rsid w:val="00980B23"/>
    <w:rsid w:val="009E4912"/>
    <w:rsid w:val="00A030FB"/>
    <w:rsid w:val="00A31DEF"/>
    <w:rsid w:val="00A3434A"/>
    <w:rsid w:val="00A51511"/>
    <w:rsid w:val="00A63E40"/>
    <w:rsid w:val="00AD5B30"/>
    <w:rsid w:val="00B12047"/>
    <w:rsid w:val="00B16C0A"/>
    <w:rsid w:val="00B25D19"/>
    <w:rsid w:val="00B44AFF"/>
    <w:rsid w:val="00B524F8"/>
    <w:rsid w:val="00B77667"/>
    <w:rsid w:val="00B84F61"/>
    <w:rsid w:val="00BC2B22"/>
    <w:rsid w:val="00BD2531"/>
    <w:rsid w:val="00BE08BB"/>
    <w:rsid w:val="00BF44D1"/>
    <w:rsid w:val="00C0067A"/>
    <w:rsid w:val="00C30629"/>
    <w:rsid w:val="00C33A9F"/>
    <w:rsid w:val="00C62329"/>
    <w:rsid w:val="00C66976"/>
    <w:rsid w:val="00C91CFB"/>
    <w:rsid w:val="00CA43FD"/>
    <w:rsid w:val="00CA6AC7"/>
    <w:rsid w:val="00CC20B9"/>
    <w:rsid w:val="00CE4FC6"/>
    <w:rsid w:val="00CF1EFB"/>
    <w:rsid w:val="00D57684"/>
    <w:rsid w:val="00D7473C"/>
    <w:rsid w:val="00D87138"/>
    <w:rsid w:val="00D9544E"/>
    <w:rsid w:val="00DB611B"/>
    <w:rsid w:val="00E04E00"/>
    <w:rsid w:val="00E1064A"/>
    <w:rsid w:val="00E42921"/>
    <w:rsid w:val="00E6361F"/>
    <w:rsid w:val="00EF103B"/>
    <w:rsid w:val="00F3085F"/>
    <w:rsid w:val="00F6548B"/>
    <w:rsid w:val="00F73BDA"/>
    <w:rsid w:val="00F82E86"/>
    <w:rsid w:val="00FA3E60"/>
    <w:rsid w:val="00FA4BEF"/>
    <w:rsid w:val="00FB5214"/>
    <w:rsid w:val="00FC5581"/>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FD7CBA-D50F-486C-9E69-B9B56A0B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BE08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1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D3F"/>
    <w:pPr>
      <w:tabs>
        <w:tab w:val="center" w:pos="4680"/>
        <w:tab w:val="right" w:pos="9360"/>
      </w:tabs>
    </w:pPr>
    <w:rPr>
      <w:lang w:val="x-none" w:eastAsia="x-none"/>
    </w:rPr>
  </w:style>
  <w:style w:type="paragraph" w:customStyle="1" w:styleId="FR2">
    <w:name w:val="FR2"/>
    <w:basedOn w:val="Normal"/>
    <w:pPr>
      <w:widowControl w:val="0"/>
    </w:pPr>
    <w:rPr>
      <w:rFonts w:ascii="Arial" w:hAnsi="Arial"/>
      <w:sz w:val="32"/>
    </w:rPr>
  </w:style>
  <w:style w:type="paragraph" w:customStyle="1" w:styleId="FR3">
    <w:name w:val="FR3"/>
    <w:basedOn w:val="Normal"/>
    <w:pPr>
      <w:widowControl w:val="0"/>
    </w:pPr>
    <w:rPr>
      <w:sz w:val="28"/>
    </w:rPr>
  </w:style>
  <w:style w:type="character" w:customStyle="1" w:styleId="HeaderChar">
    <w:name w:val="Header Char"/>
    <w:link w:val="Header"/>
    <w:uiPriority w:val="99"/>
    <w:rsid w:val="00313D3F"/>
    <w:rPr>
      <w:sz w:val="24"/>
    </w:rPr>
  </w:style>
  <w:style w:type="paragraph" w:styleId="Footer">
    <w:name w:val="footer"/>
    <w:basedOn w:val="Normal"/>
    <w:link w:val="FooterChar"/>
    <w:uiPriority w:val="99"/>
    <w:unhideWhenUsed/>
    <w:rsid w:val="00313D3F"/>
    <w:pPr>
      <w:tabs>
        <w:tab w:val="center" w:pos="4680"/>
        <w:tab w:val="right" w:pos="9360"/>
      </w:tabs>
    </w:pPr>
    <w:rPr>
      <w:lang w:val="x-none" w:eastAsia="x-none"/>
    </w:rPr>
  </w:style>
  <w:style w:type="character" w:customStyle="1" w:styleId="FooterChar">
    <w:name w:val="Footer Char"/>
    <w:link w:val="Footer"/>
    <w:uiPriority w:val="99"/>
    <w:rsid w:val="00313D3F"/>
    <w:rPr>
      <w:sz w:val="24"/>
    </w:rPr>
  </w:style>
  <w:style w:type="character" w:styleId="CommentReference">
    <w:name w:val="annotation reference"/>
    <w:uiPriority w:val="99"/>
    <w:semiHidden/>
    <w:unhideWhenUsed/>
    <w:rsid w:val="00313D3F"/>
    <w:rPr>
      <w:sz w:val="16"/>
      <w:szCs w:val="16"/>
    </w:rPr>
  </w:style>
  <w:style w:type="paragraph" w:styleId="CommentText">
    <w:name w:val="annotation text"/>
    <w:basedOn w:val="Normal"/>
    <w:link w:val="CommentTextChar"/>
    <w:uiPriority w:val="99"/>
    <w:semiHidden/>
    <w:unhideWhenUsed/>
    <w:rsid w:val="00313D3F"/>
    <w:rPr>
      <w:sz w:val="20"/>
    </w:rPr>
  </w:style>
  <w:style w:type="character" w:customStyle="1" w:styleId="CommentTextChar">
    <w:name w:val="Comment Text Char"/>
    <w:basedOn w:val="DefaultParagraphFont"/>
    <w:link w:val="CommentText"/>
    <w:uiPriority w:val="99"/>
    <w:semiHidden/>
    <w:rsid w:val="00313D3F"/>
  </w:style>
  <w:style w:type="paragraph" w:styleId="CommentSubject">
    <w:name w:val="annotation subject"/>
    <w:basedOn w:val="CommentText"/>
    <w:next w:val="CommentText"/>
    <w:link w:val="CommentSubjectChar"/>
    <w:uiPriority w:val="99"/>
    <w:semiHidden/>
    <w:unhideWhenUsed/>
    <w:rsid w:val="00313D3F"/>
    <w:rPr>
      <w:b/>
      <w:bCs/>
      <w:lang w:val="x-none" w:eastAsia="x-none"/>
    </w:rPr>
  </w:style>
  <w:style w:type="character" w:customStyle="1" w:styleId="CommentSubjectChar">
    <w:name w:val="Comment Subject Char"/>
    <w:link w:val="CommentSubject"/>
    <w:uiPriority w:val="99"/>
    <w:semiHidden/>
    <w:rsid w:val="00313D3F"/>
    <w:rPr>
      <w:b/>
      <w:bCs/>
    </w:rPr>
  </w:style>
  <w:style w:type="paragraph" w:styleId="BalloonText">
    <w:name w:val="Balloon Text"/>
    <w:basedOn w:val="Normal"/>
    <w:link w:val="BalloonTextChar"/>
    <w:uiPriority w:val="99"/>
    <w:semiHidden/>
    <w:unhideWhenUsed/>
    <w:rsid w:val="00313D3F"/>
    <w:rPr>
      <w:rFonts w:ascii="Tahoma" w:hAnsi="Tahoma"/>
      <w:sz w:val="16"/>
      <w:szCs w:val="16"/>
      <w:lang w:val="x-none" w:eastAsia="x-none"/>
    </w:rPr>
  </w:style>
  <w:style w:type="character" w:customStyle="1" w:styleId="BalloonTextChar">
    <w:name w:val="Balloon Text Char"/>
    <w:link w:val="BalloonText"/>
    <w:uiPriority w:val="99"/>
    <w:semiHidden/>
    <w:rsid w:val="00313D3F"/>
    <w:rPr>
      <w:rFonts w:ascii="Tahoma" w:hAnsi="Tahoma" w:cs="Tahoma"/>
      <w:sz w:val="16"/>
      <w:szCs w:val="16"/>
    </w:rPr>
  </w:style>
  <w:style w:type="character" w:customStyle="1" w:styleId="Heading1Char">
    <w:name w:val="Heading 1 Char"/>
    <w:basedOn w:val="DefaultParagraphFont"/>
    <w:link w:val="Heading1"/>
    <w:uiPriority w:val="9"/>
    <w:rsid w:val="00BE0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1E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7531"/>
    <w:pPr>
      <w:ind w:left="720"/>
      <w:contextualSpacing/>
    </w:pPr>
  </w:style>
  <w:style w:type="table" w:styleId="TableGrid">
    <w:name w:val="Table Grid"/>
    <w:basedOn w:val="TableNormal"/>
    <w:uiPriority w:val="59"/>
    <w:rsid w:val="0075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2886">
      <w:bodyDiv w:val="1"/>
      <w:marLeft w:val="0"/>
      <w:marRight w:val="0"/>
      <w:marTop w:val="0"/>
      <w:marBottom w:val="0"/>
      <w:divBdr>
        <w:top w:val="none" w:sz="0" w:space="0" w:color="auto"/>
        <w:left w:val="none" w:sz="0" w:space="0" w:color="auto"/>
        <w:bottom w:val="none" w:sz="0" w:space="0" w:color="auto"/>
        <w:right w:val="none" w:sz="0" w:space="0" w:color="auto"/>
      </w:divBdr>
    </w:div>
    <w:div w:id="703601299">
      <w:bodyDiv w:val="1"/>
      <w:marLeft w:val="0"/>
      <w:marRight w:val="0"/>
      <w:marTop w:val="0"/>
      <w:marBottom w:val="0"/>
      <w:divBdr>
        <w:top w:val="none" w:sz="0" w:space="0" w:color="auto"/>
        <w:left w:val="none" w:sz="0" w:space="0" w:color="auto"/>
        <w:bottom w:val="none" w:sz="0" w:space="0" w:color="auto"/>
        <w:right w:val="none" w:sz="0" w:space="0" w:color="auto"/>
      </w:divBdr>
    </w:div>
    <w:div w:id="12446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2639</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lkutas</dc:creator>
  <cp:lastModifiedBy>Lisa Kutas</cp:lastModifiedBy>
  <cp:revision>9</cp:revision>
  <cp:lastPrinted>2019-09-19T15:00:00Z</cp:lastPrinted>
  <dcterms:created xsi:type="dcterms:W3CDTF">2019-07-29T14:58:00Z</dcterms:created>
  <dcterms:modified xsi:type="dcterms:W3CDTF">2021-02-15T15:35:00Z</dcterms:modified>
</cp:coreProperties>
</file>